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6E30F">
      <w:pPr>
        <w:pageBreakBefore w:val="0"/>
        <w:kinsoku/>
        <w:wordWrap/>
        <w:overflowPunct/>
        <w:topLinePunct w:val="0"/>
        <w:bidi w:val="0"/>
        <w:spacing w:line="600" w:lineRule="exact"/>
        <w:jc w:val="center"/>
        <w:rPr>
          <w:rFonts w:eastAsia="黑体" w:cs="宋体"/>
          <w:b/>
          <w:sz w:val="52"/>
          <w:szCs w:val="52"/>
        </w:rPr>
      </w:pPr>
    </w:p>
    <w:p w14:paraId="5A7A41B5">
      <w:pPr>
        <w:pageBreakBefore w:val="0"/>
        <w:kinsoku/>
        <w:wordWrap/>
        <w:overflowPunct/>
        <w:topLinePunct w:val="0"/>
        <w:bidi w:val="0"/>
        <w:spacing w:line="600" w:lineRule="exact"/>
        <w:jc w:val="center"/>
        <w:rPr>
          <w:rFonts w:eastAsia="黑体" w:cs="宋体"/>
          <w:b/>
          <w:sz w:val="52"/>
          <w:szCs w:val="52"/>
        </w:rPr>
      </w:pPr>
    </w:p>
    <w:p w14:paraId="0496355D">
      <w:pPr>
        <w:pageBreakBefore w:val="0"/>
        <w:kinsoku/>
        <w:wordWrap/>
        <w:overflowPunct/>
        <w:topLinePunct w:val="0"/>
        <w:bidi w:val="0"/>
        <w:spacing w:line="600" w:lineRule="exact"/>
        <w:jc w:val="left"/>
        <w:rPr>
          <w:rFonts w:ascii="黑体" w:hAnsi="黑体" w:eastAsia="黑体" w:cs="黑体"/>
          <w:b/>
          <w:bCs/>
          <w:sz w:val="32"/>
          <w:szCs w:val="32"/>
        </w:rPr>
      </w:pPr>
    </w:p>
    <w:p w14:paraId="15A2B9FA">
      <w:pPr>
        <w:pageBreakBefore w:val="0"/>
        <w:kinsoku/>
        <w:wordWrap/>
        <w:overflowPunct/>
        <w:topLinePunct w:val="0"/>
        <w:bidi w:val="0"/>
        <w:spacing w:line="600" w:lineRule="exact"/>
        <w:jc w:val="left"/>
        <w:rPr>
          <w:rFonts w:ascii="Arial" w:hAnsi="Arial" w:eastAsia="Symbol"/>
          <w:b/>
          <w:bCs/>
          <w:sz w:val="32"/>
          <w:szCs w:val="32"/>
        </w:rPr>
      </w:pPr>
    </w:p>
    <w:p w14:paraId="2BE58AF5">
      <w:pPr>
        <w:pageBreakBefore w:val="0"/>
        <w:kinsoku/>
        <w:wordWrap/>
        <w:overflowPunct/>
        <w:topLinePunct w:val="0"/>
        <w:bidi w:val="0"/>
        <w:spacing w:line="600" w:lineRule="exact"/>
        <w:jc w:val="center"/>
        <w:rPr>
          <w:rFonts w:ascii="Arial" w:hAnsi="Arial" w:eastAsia="宋体"/>
          <w:b/>
          <w:bCs/>
          <w:sz w:val="32"/>
          <w:szCs w:val="32"/>
        </w:rPr>
      </w:pPr>
    </w:p>
    <w:p w14:paraId="586B5A1D">
      <w:pPr>
        <w:pageBreakBefore w:val="0"/>
        <w:kinsoku/>
        <w:wordWrap/>
        <w:overflowPunct/>
        <w:topLinePunct w:val="0"/>
        <w:bidi w:val="0"/>
        <w:spacing w:line="600" w:lineRule="exact"/>
        <w:jc w:val="center"/>
        <w:rPr>
          <w:rFonts w:ascii="Arial" w:hAnsi="Arial" w:eastAsia="宋体"/>
          <w:b/>
          <w:bCs/>
          <w:sz w:val="32"/>
          <w:szCs w:val="32"/>
        </w:rPr>
      </w:pPr>
    </w:p>
    <w:p w14:paraId="2309FC81">
      <w:pPr>
        <w:pageBreakBefore w:val="0"/>
        <w:kinsoku/>
        <w:wordWrap/>
        <w:overflowPunct/>
        <w:topLinePunct w:val="0"/>
        <w:bidi w:val="0"/>
        <w:spacing w:line="600" w:lineRule="exact"/>
        <w:jc w:val="center"/>
        <w:rPr>
          <w:rFonts w:ascii="Arial" w:hAnsi="Arial" w:eastAsia="宋体"/>
          <w:b/>
          <w:bCs/>
          <w:sz w:val="32"/>
          <w:szCs w:val="32"/>
        </w:rPr>
      </w:pPr>
    </w:p>
    <w:p w14:paraId="672F1C2F">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val="en-US" w:eastAsia="zh-CN"/>
        </w:rPr>
        <w:t>2026</w:t>
      </w:r>
      <w:r>
        <w:rPr>
          <w:rFonts w:hint="eastAsia" w:ascii="方正小标宋简体" w:hAnsi="方正小标宋简体" w:eastAsia="方正小标宋简体" w:cs="方正小标宋简体"/>
          <w:b w:val="0"/>
          <w:bCs w:val="0"/>
          <w:sz w:val="44"/>
          <w:szCs w:val="44"/>
          <w:u w:val="none"/>
        </w:rPr>
        <w:t>年度</w:t>
      </w:r>
      <w:r>
        <w:rPr>
          <w:rFonts w:hint="eastAsia" w:ascii="方正小标宋简体" w:hAnsi="方正小标宋简体" w:eastAsia="方正小标宋简体" w:cs="方正小标宋简体"/>
          <w:b w:val="0"/>
          <w:bCs w:val="0"/>
          <w:sz w:val="44"/>
          <w:szCs w:val="44"/>
          <w:u w:val="none"/>
          <w:lang w:eastAsia="zh-CN"/>
        </w:rPr>
        <w:t>包头市林业和草原灾害防控中心</w:t>
      </w:r>
    </w:p>
    <w:p w14:paraId="01A59945">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预算公开</w:t>
      </w:r>
    </w:p>
    <w:p w14:paraId="33C2037B">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10293341">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6593BBC9">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6E935C7B">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5A6D80E2">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5ED459AF">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6D466EDA">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13B6105E">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74B2EE39">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41F04AD3">
      <w:pPr>
        <w:pageBreakBefore w:val="0"/>
        <w:kinsoku/>
        <w:wordWrap/>
        <w:overflowPunct/>
        <w:topLinePunct w:val="0"/>
        <w:bidi w:val="0"/>
        <w:adjustRightInd w:val="0"/>
        <w:snapToGrid w:val="0"/>
        <w:spacing w:line="600" w:lineRule="exact"/>
        <w:rPr>
          <w:rFonts w:hint="eastAsia" w:ascii="黑体" w:hAnsi="黑体" w:eastAsia="黑体" w:cs="黑体"/>
          <w:sz w:val="32"/>
          <w:szCs w:val="32"/>
          <w:u w:val="none"/>
        </w:rPr>
      </w:pPr>
    </w:p>
    <w:p w14:paraId="6C428EDD">
      <w:pPr>
        <w:pageBreakBefore w:val="0"/>
        <w:kinsoku/>
        <w:wordWrap/>
        <w:overflowPunct/>
        <w:topLinePunct w:val="0"/>
        <w:bidi w:val="0"/>
        <w:adjustRightInd w:val="0"/>
        <w:snapToGrid w:val="0"/>
        <w:spacing w:line="600" w:lineRule="exact"/>
        <w:jc w:val="center"/>
        <w:rPr>
          <w:rFonts w:ascii="黑体" w:hAnsi="黑体" w:eastAsia="黑体" w:cs="黑体"/>
          <w:sz w:val="32"/>
          <w:szCs w:val="32"/>
          <w:u w:val="none"/>
        </w:rPr>
      </w:pPr>
      <w:r>
        <w:rPr>
          <w:rFonts w:hint="eastAsia" w:ascii="黑体" w:hAnsi="黑体" w:eastAsia="黑体" w:cs="黑体"/>
          <w:sz w:val="32"/>
          <w:szCs w:val="32"/>
          <w:u w:val="none"/>
        </w:rPr>
        <w:t>批复时间：</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w:t>
      </w:r>
      <w:r>
        <w:rPr>
          <w:rFonts w:hint="eastAsia" w:ascii="黑体" w:hAnsi="黑体" w:eastAsia="黑体" w:cs="黑体"/>
          <w:sz w:val="32"/>
          <w:szCs w:val="32"/>
          <w:u w:val="none"/>
          <w:lang w:val="en-US" w:eastAsia="zh-CN"/>
        </w:rPr>
        <w:t>1</w:t>
      </w:r>
      <w:r>
        <w:rPr>
          <w:rFonts w:hint="eastAsia" w:ascii="黑体" w:hAnsi="黑体" w:eastAsia="黑体" w:cs="黑体"/>
          <w:sz w:val="32"/>
          <w:szCs w:val="32"/>
          <w:u w:val="none"/>
        </w:rPr>
        <w:t>月</w:t>
      </w:r>
      <w:r>
        <w:rPr>
          <w:rFonts w:hint="eastAsia" w:ascii="黑体" w:hAnsi="黑体" w:eastAsia="黑体" w:cs="黑体"/>
          <w:sz w:val="32"/>
          <w:szCs w:val="32"/>
          <w:u w:val="none"/>
          <w:lang w:val="en-US" w:eastAsia="zh-CN"/>
        </w:rPr>
        <w:t>29</w:t>
      </w:r>
      <w:r>
        <w:rPr>
          <w:rFonts w:hint="eastAsia" w:ascii="黑体" w:hAnsi="黑体" w:eastAsia="黑体" w:cs="黑体"/>
          <w:sz w:val="32"/>
          <w:szCs w:val="32"/>
          <w:u w:val="none"/>
        </w:rPr>
        <w:t>日</w:t>
      </w:r>
    </w:p>
    <w:p w14:paraId="66A8BC94">
      <w:pPr>
        <w:pStyle w:val="18"/>
        <w:pageBreakBefore w:val="0"/>
        <w:kinsoku/>
        <w:wordWrap/>
        <w:overflowPunct/>
        <w:topLinePunct w:val="0"/>
        <w:bidi w:val="0"/>
        <w:spacing w:after="0" w:line="600" w:lineRule="exact"/>
        <w:ind w:left="0" w:leftChars="0" w:firstLine="0" w:firstLineChars="0"/>
        <w:jc w:val="center"/>
        <w:rPr>
          <w:rFonts w:hint="default" w:ascii="黑体" w:hAnsi="黑体" w:eastAsia="黑体" w:cs="黑体"/>
          <w:u w:val="none"/>
        </w:rPr>
      </w:pPr>
      <w:r>
        <w:rPr>
          <w:rFonts w:ascii="黑体" w:hAnsi="黑体" w:eastAsia="黑体" w:cs="黑体"/>
          <w:sz w:val="32"/>
          <w:szCs w:val="32"/>
          <w:u w:val="none"/>
        </w:rPr>
        <w:t>公开时间：</w:t>
      </w:r>
      <w:r>
        <w:rPr>
          <w:rFonts w:hint="eastAsia" w:ascii="黑体" w:hAnsi="黑体" w:eastAsia="黑体" w:cs="黑体"/>
          <w:sz w:val="32"/>
          <w:szCs w:val="32"/>
          <w:u w:val="none"/>
          <w:lang w:val="en-US" w:eastAsia="zh-CN"/>
        </w:rPr>
        <w:t>2026</w:t>
      </w:r>
      <w:r>
        <w:rPr>
          <w:rFonts w:ascii="黑体" w:hAnsi="黑体" w:eastAsia="黑体" w:cs="黑体"/>
          <w:sz w:val="32"/>
          <w:szCs w:val="32"/>
          <w:u w:val="none"/>
        </w:rPr>
        <w:t>年</w:t>
      </w:r>
      <w:r>
        <w:rPr>
          <w:rFonts w:hint="eastAsia" w:ascii="黑体" w:hAnsi="黑体" w:eastAsia="黑体" w:cs="黑体"/>
          <w:sz w:val="32"/>
          <w:szCs w:val="32"/>
          <w:u w:val="none"/>
          <w:lang w:val="en-US" w:eastAsia="zh-CN"/>
        </w:rPr>
        <w:t>2</w:t>
      </w:r>
      <w:r>
        <w:rPr>
          <w:rFonts w:ascii="黑体" w:hAnsi="黑体" w:eastAsia="黑体" w:cs="黑体"/>
          <w:sz w:val="32"/>
          <w:szCs w:val="32"/>
          <w:u w:val="none"/>
        </w:rPr>
        <w:t>月</w:t>
      </w:r>
      <w:r>
        <w:rPr>
          <w:rFonts w:hint="eastAsia" w:ascii="黑体" w:hAnsi="黑体" w:eastAsia="黑体" w:cs="黑体"/>
          <w:sz w:val="32"/>
          <w:szCs w:val="32"/>
          <w:u w:val="none"/>
          <w:lang w:val="en-US" w:eastAsia="zh-CN"/>
        </w:rPr>
        <w:t>9</w:t>
      </w:r>
      <w:r>
        <w:rPr>
          <w:rFonts w:ascii="黑体" w:hAnsi="黑体" w:eastAsia="黑体" w:cs="黑体"/>
          <w:sz w:val="32"/>
          <w:szCs w:val="32"/>
          <w:u w:val="none"/>
        </w:rPr>
        <w:t>日</w:t>
      </w:r>
    </w:p>
    <w:p w14:paraId="5B56EA62">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63004224">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3985DA47">
      <w:pPr>
        <w:pageBreakBefore w:val="0"/>
        <w:kinsoku/>
        <w:wordWrap/>
        <w:overflowPunct/>
        <w:topLinePunct w:val="0"/>
        <w:bidi w:val="0"/>
        <w:adjustRightInd w:val="0"/>
        <w:snapToGrid w:val="0"/>
        <w:spacing w:line="600" w:lineRule="exact"/>
        <w:ind w:firstLine="640"/>
        <w:rPr>
          <w:rFonts w:ascii="仿宋" w:hAnsi="仿宋" w:eastAsia="仿宋"/>
          <w:sz w:val="32"/>
          <w:szCs w:val="32"/>
          <w:u w:val="none"/>
        </w:rPr>
      </w:pPr>
    </w:p>
    <w:p w14:paraId="237A8A0D">
      <w:pPr>
        <w:pStyle w:val="3"/>
        <w:pageBreakBefore w:val="0"/>
        <w:tabs>
          <w:tab w:val="left" w:pos="4533"/>
        </w:tabs>
        <w:kinsoku/>
        <w:wordWrap/>
        <w:overflowPunct/>
        <w:topLinePunct w:val="0"/>
        <w:bidi w:val="0"/>
        <w:spacing w:before="0" w:after="0" w:line="600" w:lineRule="exact"/>
        <w:ind w:firstLine="0" w:firstLineChars="0"/>
        <w:jc w:val="center"/>
        <w:rPr>
          <w:sz w:val="44"/>
          <w:szCs w:val="44"/>
          <w:u w:val="none"/>
        </w:rPr>
      </w:pPr>
      <w:r>
        <w:rPr>
          <w:sz w:val="44"/>
          <w:szCs w:val="44"/>
          <w:u w:val="none"/>
        </w:rPr>
        <w:t>目</w:t>
      </w:r>
      <w:r>
        <w:rPr>
          <w:rFonts w:hint="eastAsia" w:eastAsia="宋体"/>
          <w:sz w:val="44"/>
          <w:szCs w:val="44"/>
          <w:u w:val="none"/>
        </w:rPr>
        <w:t xml:space="preserve">  </w:t>
      </w:r>
      <w:r>
        <w:rPr>
          <w:rFonts w:hint="eastAsia"/>
          <w:sz w:val="44"/>
          <w:szCs w:val="44"/>
          <w:u w:val="none"/>
        </w:rPr>
        <w:t xml:space="preserve">  </w:t>
      </w:r>
      <w:r>
        <w:rPr>
          <w:sz w:val="44"/>
          <w:szCs w:val="44"/>
          <w:u w:val="none"/>
        </w:rPr>
        <w:t>录</w:t>
      </w:r>
    </w:p>
    <w:p w14:paraId="20D62DE9">
      <w:pPr>
        <w:rPr>
          <w:u w:val="none"/>
        </w:rPr>
      </w:pPr>
    </w:p>
    <w:p w14:paraId="7202CB62">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第一部分 单位概况</w:t>
      </w:r>
    </w:p>
    <w:p w14:paraId="4F7CC1E4">
      <w:pPr>
        <w:pStyle w:val="8"/>
        <w:pageBreakBefore w:val="0"/>
        <w:kinsoku/>
        <w:wordWrap/>
        <w:overflowPunct/>
        <w:topLinePunct w:val="0"/>
        <w:bidi w:val="0"/>
        <w:spacing w:after="0" w:line="600" w:lineRule="exact"/>
        <w:rPr>
          <w:rFonts w:ascii="仿宋" w:hAnsi="仿宋" w:eastAsia="仿宋" w:cs="仿宋"/>
          <w:sz w:val="32"/>
          <w:szCs w:val="32"/>
          <w:highlight w:val="yellow"/>
          <w:u w:val="none"/>
        </w:rPr>
      </w:pPr>
      <w:r>
        <w:rPr>
          <w:rFonts w:hint="eastAsia" w:ascii="仿宋" w:hAnsi="仿宋" w:eastAsia="仿宋" w:cs="仿宋"/>
          <w:w w:val="95"/>
          <w:sz w:val="32"/>
          <w:szCs w:val="32"/>
          <w:u w:val="none"/>
        </w:rPr>
        <w:t>一、主要职能、职责</w:t>
      </w:r>
    </w:p>
    <w:p w14:paraId="3B0139A1">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二、单位机构设置及预算单位构成情况</w:t>
      </w:r>
    </w:p>
    <w:p w14:paraId="3D120F61">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仿宋" w:hAnsi="仿宋" w:eastAsia="仿宋" w:cs="仿宋"/>
          <w:sz w:val="32"/>
          <w:szCs w:val="32"/>
          <w:u w:val="none"/>
        </w:rPr>
        <w:t>三、</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年度单位主要工作任务及目标</w:t>
      </w:r>
    </w:p>
    <w:p w14:paraId="4F464609">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 xml:space="preserve">第二部分 </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年度单位预算情况说明</w:t>
      </w:r>
    </w:p>
    <w:p w14:paraId="02377D11">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一、收支预算总体情况说明</w:t>
      </w:r>
    </w:p>
    <w:p w14:paraId="46A59A3F">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二、收入预算情况说明</w:t>
      </w:r>
    </w:p>
    <w:p w14:paraId="67E009D9">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三、支出预算情况说明</w:t>
      </w:r>
    </w:p>
    <w:p w14:paraId="4C79E461">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四、财政拨款收支预算总体情况说明</w:t>
      </w:r>
    </w:p>
    <w:p w14:paraId="07713324">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五、一般公共预算支出预算情况说明</w:t>
      </w:r>
    </w:p>
    <w:p w14:paraId="00B67824">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六、一般公共预算基本支出预算情况说明</w:t>
      </w:r>
    </w:p>
    <w:p w14:paraId="7928A03B">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七、一般公共预算“三公”经费支出预算情况说明</w:t>
      </w:r>
    </w:p>
    <w:p w14:paraId="36AFFC93">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八、政府性基金预算支出预算情况说明</w:t>
      </w:r>
    </w:p>
    <w:p w14:paraId="4E19EAC1">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九、国有资本经营预算支出预算情况说明</w:t>
      </w:r>
    </w:p>
    <w:p w14:paraId="2585CBDE">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十、项目支出预算情况说明</w:t>
      </w:r>
    </w:p>
    <w:p w14:paraId="6075FF4D">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十一、一般公共预算机关运行经费支出预算情况说明</w:t>
      </w:r>
    </w:p>
    <w:p w14:paraId="790271A7">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十二、政府采购支出预算情况说明</w:t>
      </w:r>
    </w:p>
    <w:p w14:paraId="67F88CAE">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十三、国有资产占用情况说明</w:t>
      </w:r>
    </w:p>
    <w:p w14:paraId="3210BC1F">
      <w:pPr>
        <w:pageBreakBefore w:val="0"/>
        <w:widowControl/>
        <w:kinsoku/>
        <w:wordWrap/>
        <w:overflowPunct/>
        <w:topLinePunct w:val="0"/>
        <w:bidi w:val="0"/>
        <w:spacing w:line="600" w:lineRule="exact"/>
        <w:jc w:val="left"/>
        <w:rPr>
          <w:rFonts w:ascii="仿宋" w:hAnsi="仿宋" w:eastAsia="仿宋" w:cs="仿宋"/>
          <w:sz w:val="32"/>
          <w:szCs w:val="32"/>
          <w:u w:val="none"/>
        </w:rPr>
      </w:pPr>
      <w:r>
        <w:rPr>
          <w:rFonts w:hint="eastAsia" w:ascii="仿宋" w:hAnsi="仿宋" w:eastAsia="仿宋" w:cs="仿宋"/>
          <w:sz w:val="32"/>
          <w:szCs w:val="32"/>
          <w:u w:val="none"/>
        </w:rPr>
        <w:t xml:space="preserve">十四、项目绩效目标情况说明 </w:t>
      </w:r>
    </w:p>
    <w:p w14:paraId="35302944">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第三部分 名词解释</w:t>
      </w:r>
    </w:p>
    <w:p w14:paraId="25F269CB">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第四部分 预算公开联系方式及信息反馈渠道</w:t>
      </w:r>
    </w:p>
    <w:p w14:paraId="545E6404">
      <w:pPr>
        <w:pStyle w:val="8"/>
        <w:pageBreakBefore w:val="0"/>
        <w:kinsoku/>
        <w:wordWrap/>
        <w:overflowPunct/>
        <w:topLinePunct w:val="0"/>
        <w:bidi w:val="0"/>
        <w:spacing w:after="0" w:line="600" w:lineRule="exact"/>
        <w:rPr>
          <w:rFonts w:ascii="黑体" w:hAnsi="黑体" w:eastAsia="黑体" w:cs="黑体"/>
          <w:sz w:val="32"/>
          <w:szCs w:val="32"/>
          <w:u w:val="none"/>
        </w:rPr>
      </w:pPr>
      <w:r>
        <w:rPr>
          <w:rFonts w:hint="eastAsia" w:ascii="黑体" w:hAnsi="黑体" w:eastAsia="黑体" w:cs="黑体"/>
          <w:sz w:val="32"/>
          <w:szCs w:val="32"/>
          <w:u w:val="none"/>
        </w:rPr>
        <w:t xml:space="preserve">第五部分 </w:t>
      </w:r>
      <w:r>
        <w:rPr>
          <w:rFonts w:hint="eastAsia" w:ascii="黑体" w:hAnsi="黑体" w:eastAsia="黑体" w:cs="黑体"/>
          <w:sz w:val="32"/>
          <w:szCs w:val="32"/>
          <w:u w:val="none"/>
          <w:lang w:val="en-US" w:eastAsia="zh-CN"/>
        </w:rPr>
        <w:t>2026</w:t>
      </w:r>
      <w:r>
        <w:rPr>
          <w:rFonts w:hint="eastAsia" w:ascii="黑体" w:hAnsi="黑体" w:eastAsia="黑体" w:cs="黑体"/>
          <w:sz w:val="32"/>
          <w:szCs w:val="32"/>
          <w:u w:val="none"/>
        </w:rPr>
        <w:t>年度单位预算表</w:t>
      </w:r>
    </w:p>
    <w:p w14:paraId="59255B6A">
      <w:pPr>
        <w:pStyle w:val="8"/>
        <w:pageBreakBefore w:val="0"/>
        <w:numPr>
          <w:ilvl w:val="0"/>
          <w:numId w:val="1"/>
        </w:numPr>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收支总表</w:t>
      </w:r>
    </w:p>
    <w:p w14:paraId="107C471E">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二、收入总表</w:t>
      </w:r>
    </w:p>
    <w:p w14:paraId="4D3FFC93">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三、支出总表</w:t>
      </w:r>
    </w:p>
    <w:p w14:paraId="19B1A920">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四、财政拨款收支总表</w:t>
      </w:r>
    </w:p>
    <w:p w14:paraId="7EBF760A">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五、一般公共预算支出表</w:t>
      </w:r>
    </w:p>
    <w:p w14:paraId="32608E78">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六、一般公共预算基本支出表</w:t>
      </w:r>
    </w:p>
    <w:p w14:paraId="14811DA0">
      <w:pPr>
        <w:pStyle w:val="8"/>
        <w:pageBreakBefore w:val="0"/>
        <w:kinsoku/>
        <w:wordWrap/>
        <w:overflowPunct/>
        <w:topLinePunct w:val="0"/>
        <w:bidi w:val="0"/>
        <w:spacing w:after="0" w:line="600" w:lineRule="exact"/>
        <w:rPr>
          <w:rFonts w:ascii="仿宋" w:hAnsi="仿宋" w:eastAsia="仿宋" w:cs="仿宋"/>
          <w:spacing w:val="-16"/>
          <w:w w:val="95"/>
          <w:sz w:val="32"/>
          <w:szCs w:val="32"/>
          <w:u w:val="none"/>
        </w:rPr>
      </w:pPr>
      <w:r>
        <w:rPr>
          <w:rFonts w:hint="eastAsia" w:ascii="仿宋" w:hAnsi="仿宋" w:eastAsia="仿宋" w:cs="仿宋"/>
          <w:spacing w:val="-17"/>
          <w:w w:val="95"/>
          <w:sz w:val="32"/>
          <w:szCs w:val="32"/>
          <w:u w:val="none"/>
        </w:rPr>
        <w:t>七、一般公共预算</w:t>
      </w:r>
      <w:r>
        <w:rPr>
          <w:rFonts w:hint="eastAsia" w:ascii="仿宋" w:hAnsi="仿宋" w:eastAsia="仿宋" w:cs="仿宋"/>
          <w:spacing w:val="-8"/>
          <w:w w:val="95"/>
          <w:sz w:val="32"/>
          <w:szCs w:val="32"/>
          <w:u w:val="none"/>
        </w:rPr>
        <w:t>“</w:t>
      </w:r>
      <w:r>
        <w:rPr>
          <w:rFonts w:hint="eastAsia" w:ascii="仿宋" w:hAnsi="仿宋" w:eastAsia="仿宋" w:cs="仿宋"/>
          <w:spacing w:val="-15"/>
          <w:w w:val="95"/>
          <w:sz w:val="32"/>
          <w:szCs w:val="32"/>
          <w:u w:val="none"/>
        </w:rPr>
        <w:t>三公</w:t>
      </w:r>
      <w:r>
        <w:rPr>
          <w:rFonts w:hint="eastAsia" w:ascii="仿宋" w:hAnsi="仿宋" w:eastAsia="仿宋" w:cs="仿宋"/>
          <w:spacing w:val="-10"/>
          <w:w w:val="95"/>
          <w:sz w:val="32"/>
          <w:szCs w:val="32"/>
          <w:u w:val="none"/>
        </w:rPr>
        <w:t>”</w:t>
      </w:r>
      <w:r>
        <w:rPr>
          <w:rFonts w:hint="eastAsia" w:ascii="仿宋" w:hAnsi="仿宋" w:eastAsia="仿宋" w:cs="仿宋"/>
          <w:spacing w:val="-16"/>
          <w:w w:val="95"/>
          <w:sz w:val="32"/>
          <w:szCs w:val="32"/>
          <w:u w:val="none"/>
        </w:rPr>
        <w:t>经费支出表</w:t>
      </w:r>
    </w:p>
    <w:p w14:paraId="02566A26">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pacing w:val="-16"/>
          <w:w w:val="95"/>
          <w:sz w:val="32"/>
          <w:szCs w:val="32"/>
          <w:u w:val="none"/>
        </w:rPr>
        <w:t>八、政府性基金预算支出表</w:t>
      </w:r>
    </w:p>
    <w:p w14:paraId="719FB5DE">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九、国有资本经营预算支出表</w:t>
      </w:r>
    </w:p>
    <w:p w14:paraId="22789A5B">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十、项目支出表</w:t>
      </w:r>
    </w:p>
    <w:p w14:paraId="037C6587">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sz w:val="32"/>
          <w:szCs w:val="32"/>
          <w:u w:val="none"/>
        </w:rPr>
        <w:t>十一、项目绩效目标表</w:t>
      </w:r>
    </w:p>
    <w:p w14:paraId="55F61A01">
      <w:pPr>
        <w:pStyle w:val="8"/>
        <w:pageBreakBefore w:val="0"/>
        <w:kinsoku/>
        <w:wordWrap/>
        <w:overflowPunct/>
        <w:topLinePunct w:val="0"/>
        <w:bidi w:val="0"/>
        <w:spacing w:after="0" w:line="600" w:lineRule="exact"/>
        <w:rPr>
          <w:rFonts w:ascii="仿宋" w:hAnsi="仿宋" w:eastAsia="仿宋" w:cs="仿宋"/>
          <w:sz w:val="32"/>
          <w:szCs w:val="32"/>
          <w:u w:val="none"/>
        </w:rPr>
      </w:pPr>
      <w:r>
        <w:rPr>
          <w:rFonts w:hint="eastAsia" w:ascii="仿宋" w:hAnsi="仿宋" w:eastAsia="仿宋" w:cs="仿宋"/>
          <w:w w:val="95"/>
          <w:sz w:val="32"/>
          <w:szCs w:val="32"/>
          <w:u w:val="none"/>
        </w:rPr>
        <w:t>十二、政府采购预算表</w:t>
      </w:r>
    </w:p>
    <w:p w14:paraId="3F2FBE8C">
      <w:pPr>
        <w:pStyle w:val="18"/>
        <w:pageBreakBefore w:val="0"/>
        <w:kinsoku/>
        <w:wordWrap/>
        <w:overflowPunct/>
        <w:topLinePunct w:val="0"/>
        <w:bidi w:val="0"/>
        <w:spacing w:after="0" w:line="600" w:lineRule="exact"/>
        <w:rPr>
          <w:rFonts w:hint="default"/>
          <w:u w:val="none"/>
        </w:rPr>
        <w:sectPr>
          <w:headerReference r:id="rId3" w:type="default"/>
          <w:footerReference r:id="rId4" w:type="default"/>
          <w:pgSz w:w="11910" w:h="16840"/>
          <w:pgMar w:top="1582" w:right="1680" w:bottom="278" w:left="1640" w:header="720" w:footer="720" w:gutter="0"/>
          <w:pgNumType w:fmt="numberInDash"/>
          <w:cols w:space="0" w:num="1"/>
        </w:sectPr>
      </w:pPr>
    </w:p>
    <w:p w14:paraId="26FEF8B1">
      <w:pPr>
        <w:pStyle w:val="5"/>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第一部分  单位概况</w:t>
      </w:r>
    </w:p>
    <w:p w14:paraId="66D61C19">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val="none"/>
        </w:rPr>
      </w:pPr>
    </w:p>
    <w:p w14:paraId="3FB9A79F">
      <w:pPr>
        <w:pageBreakBefore w:val="0"/>
        <w:numPr>
          <w:ilvl w:val="0"/>
          <w:numId w:val="2"/>
        </w:numPr>
        <w:kinsoku/>
        <w:wordWrap/>
        <w:overflowPunct/>
        <w:topLinePunct w:val="0"/>
        <w:bidi w:val="0"/>
        <w:spacing w:line="600" w:lineRule="exact"/>
        <w:ind w:left="17" w:leftChars="8" w:firstLine="624" w:firstLineChars="195"/>
        <w:outlineLvl w:val="0"/>
        <w:rPr>
          <w:rFonts w:hint="eastAsia" w:eastAsia="黑体" w:cs="黑体"/>
          <w:b w:val="0"/>
          <w:bCs w:val="0"/>
          <w:sz w:val="32"/>
          <w:szCs w:val="36"/>
          <w:u w:val="none"/>
        </w:rPr>
      </w:pPr>
      <w:r>
        <w:rPr>
          <w:rFonts w:hint="eastAsia" w:eastAsia="黑体" w:cs="黑体"/>
          <w:b w:val="0"/>
          <w:bCs w:val="0"/>
          <w:sz w:val="32"/>
          <w:szCs w:val="36"/>
          <w:u w:val="none"/>
        </w:rPr>
        <w:t>主要职能职责</w:t>
      </w:r>
    </w:p>
    <w:p w14:paraId="004B2840">
      <w:pPr>
        <w:spacing w:before="251" w:line="226" w:lineRule="auto"/>
        <w:ind w:left="657"/>
        <w:rPr>
          <w:rFonts w:hint="default" w:ascii="Times New Roman" w:hAnsi="Times New Roman" w:eastAsia="仿宋_GB2312" w:cs="Times New Roman"/>
          <w:kern w:val="2"/>
          <w:sz w:val="32"/>
          <w:szCs w:val="32"/>
          <w:u w:val="none"/>
          <w:lang w:val="en-US" w:eastAsia="zh-CN" w:bidi="ar-SA"/>
        </w:rPr>
      </w:pPr>
      <w:r>
        <w:rPr>
          <w:rFonts w:hint="default" w:eastAsia="黑体" w:cs="黑体"/>
          <w:b w:val="0"/>
          <w:bCs w:val="0"/>
          <w:sz w:val="32"/>
          <w:szCs w:val="36"/>
          <w:u w:val="none"/>
          <w:lang w:val="en-US" w:eastAsia="zh-CN"/>
        </w:rPr>
        <w:t>（一）单位职能</w:t>
      </w:r>
    </w:p>
    <w:p w14:paraId="62F4765B">
      <w:pPr>
        <w:spacing w:before="337" w:line="333" w:lineRule="auto"/>
        <w:ind w:right="179" w:firstLine="656"/>
        <w:jc w:val="both"/>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根据包头市中共包头市委员会机构编制委员会办公室《关于市林业和草原局所属事业单位机构职能的通知》（包机编办发〔2021〕33号），设立包头市林业和草原灾害防控中心，为包头市林业和草原局所属相当于正科级公益一类事业单位。</w:t>
      </w:r>
    </w:p>
    <w:p w14:paraId="6EAB3A6F">
      <w:pPr>
        <w:spacing w:before="156" w:line="230" w:lineRule="auto"/>
        <w:ind w:left="647"/>
        <w:rPr>
          <w:rFonts w:hint="default" w:ascii="Times New Roman" w:hAnsi="Times New Roman" w:eastAsia="仿宋_GB2312" w:cs="Times New Roman"/>
          <w:kern w:val="2"/>
          <w:sz w:val="32"/>
          <w:szCs w:val="32"/>
          <w:u w:val="none"/>
          <w:lang w:val="en-US" w:eastAsia="zh-CN" w:bidi="ar-SA"/>
        </w:rPr>
      </w:pPr>
      <w:r>
        <w:rPr>
          <w:rFonts w:hint="default" w:eastAsia="黑体" w:cs="黑体"/>
          <w:b w:val="0"/>
          <w:bCs w:val="0"/>
          <w:sz w:val="32"/>
          <w:szCs w:val="36"/>
          <w:u w:val="none"/>
          <w:lang w:val="en-US" w:eastAsia="zh-CN"/>
        </w:rPr>
        <w:t>（二）主要职责</w:t>
      </w:r>
    </w:p>
    <w:p w14:paraId="0330AD63">
      <w:pPr>
        <w:spacing w:before="323" w:line="333" w:lineRule="auto"/>
        <w:ind w:right="272" w:firstLine="664"/>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负责落实全市林草综合防灾减灾规划相关要求，研究拟定全市林业和草原有害生物入侵的防治规划，协助编制有害生物防治应急预案。负责全市林业和草原有害生物防治、风险评估、应急物资储备工作。负责全市林业和草原有害生物的科研、普查、检疫、监测、推广应用及技术培训等工作。负责开展全市森林草原防火相关工作。</w:t>
      </w:r>
    </w:p>
    <w:p w14:paraId="0F210E9E">
      <w:pPr>
        <w:spacing w:before="323" w:line="333" w:lineRule="auto"/>
        <w:ind w:right="272" w:firstLine="664"/>
        <w:rPr>
          <w:rFonts w:hint="default" w:ascii="Times New Roman" w:hAnsi="Times New Roman" w:eastAsia="仿宋_GB2312" w:cs="Times New Roman"/>
          <w:kern w:val="2"/>
          <w:sz w:val="32"/>
          <w:szCs w:val="32"/>
          <w:u w:val="none"/>
          <w:lang w:val="en-US" w:eastAsia="zh-CN" w:bidi="ar-SA"/>
        </w:rPr>
      </w:pPr>
    </w:p>
    <w:p w14:paraId="2BEBEF62">
      <w:pPr>
        <w:spacing w:before="323" w:line="333" w:lineRule="auto"/>
        <w:ind w:right="272" w:firstLine="664"/>
        <w:rPr>
          <w:rFonts w:hint="eastAsia" w:ascii="Times New Roman" w:hAnsi="Times New Roman" w:eastAsia="仿宋_GB2312" w:cs="Times New Roman"/>
          <w:kern w:val="2"/>
          <w:sz w:val="32"/>
          <w:szCs w:val="32"/>
          <w:u w:val="none"/>
          <w:lang w:val="en-US" w:eastAsia="zh-CN" w:bidi="ar-SA"/>
        </w:rPr>
      </w:pPr>
    </w:p>
    <w:p w14:paraId="20554A8F">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二、单位机构设置及预算单位构成情况</w:t>
      </w:r>
    </w:p>
    <w:p w14:paraId="6DED966A">
      <w:pPr>
        <w:pageBreakBefore w:val="0"/>
        <w:kinsoku/>
        <w:wordWrap/>
        <w:overflowPunct/>
        <w:topLinePunct w:val="0"/>
        <w:bidi w:val="0"/>
        <w:spacing w:line="600" w:lineRule="exact"/>
        <w:ind w:firstLine="640" w:firstLineChars="200"/>
        <w:rPr>
          <w:rFonts w:eastAsia="仿宋_GB2312" w:cstheme="minorBidi"/>
          <w:sz w:val="32"/>
          <w:szCs w:val="32"/>
          <w:highlight w:val="yellow"/>
          <w:u w:val="none"/>
        </w:rPr>
      </w:pPr>
      <w:r>
        <w:rPr>
          <w:rFonts w:hint="eastAsia" w:eastAsia="仿宋_GB2312" w:cstheme="minorBidi"/>
          <w:sz w:val="32"/>
          <w:szCs w:val="32"/>
          <w:u w:val="none"/>
        </w:rPr>
        <w:t>1．根据单位职责分工，本单位内设机构包括综合室、财务室、林业室、防火室、草原室。本单位</w:t>
      </w:r>
      <w:r>
        <w:rPr>
          <w:rFonts w:hint="eastAsia" w:eastAsia="仿宋_GB2312" w:cstheme="minorBidi"/>
          <w:sz w:val="32"/>
          <w:szCs w:val="32"/>
          <w:u w:val="none"/>
          <w:lang w:eastAsia="zh-CN"/>
        </w:rPr>
        <w:t>无</w:t>
      </w:r>
      <w:r>
        <w:rPr>
          <w:rFonts w:hint="eastAsia" w:eastAsia="仿宋_GB2312" w:cstheme="minorBidi"/>
          <w:sz w:val="32"/>
          <w:szCs w:val="32"/>
          <w:u w:val="none"/>
        </w:rPr>
        <w:t>下属单位。</w:t>
      </w:r>
    </w:p>
    <w:p w14:paraId="07C0DE91">
      <w:pPr>
        <w:pageBreakBefore w:val="0"/>
        <w:kinsoku/>
        <w:wordWrap/>
        <w:overflowPunct/>
        <w:topLinePunct w:val="0"/>
        <w:bidi w:val="0"/>
        <w:spacing w:line="600" w:lineRule="exact"/>
        <w:ind w:firstLine="640" w:firstLineChars="200"/>
        <w:rPr>
          <w:rFonts w:hint="eastAsia" w:ascii="仿宋_GB2312" w:hAnsi="仿宋_GB2312" w:eastAsia="仿宋_GB2312" w:cs="仿宋_GB2312"/>
          <w:b/>
          <w:bCs/>
          <w:sz w:val="32"/>
          <w:szCs w:val="32"/>
          <w:u w:val="none"/>
        </w:rPr>
      </w:pPr>
      <w:r>
        <w:rPr>
          <w:rFonts w:hint="eastAsia" w:eastAsia="仿宋_GB2312" w:cstheme="minorBidi"/>
          <w:sz w:val="32"/>
          <w:szCs w:val="32"/>
          <w:u w:val="none"/>
        </w:rPr>
        <w:t>2．从预算单位构成看，纳入本单位</w:t>
      </w:r>
      <w:r>
        <w:rPr>
          <w:rFonts w:hint="eastAsia" w:eastAsia="仿宋_GB2312" w:cstheme="minorBidi"/>
          <w:sz w:val="32"/>
          <w:szCs w:val="32"/>
          <w:u w:val="none"/>
          <w:lang w:val="en-US" w:eastAsia="zh-CN"/>
        </w:rPr>
        <w:t>2026</w:t>
      </w:r>
      <w:r>
        <w:rPr>
          <w:rFonts w:hint="eastAsia" w:eastAsia="仿宋_GB2312" w:cstheme="minorBidi"/>
          <w:sz w:val="32"/>
          <w:szCs w:val="32"/>
          <w:u w:val="none"/>
        </w:rPr>
        <w:t>年汇总预算编制范围的预算单位共计</w:t>
      </w:r>
      <w:r>
        <w:rPr>
          <w:rFonts w:hint="eastAsia" w:eastAsia="仿宋_GB2312" w:cstheme="minorBidi"/>
          <w:sz w:val="32"/>
          <w:szCs w:val="32"/>
          <w:u w:val="none"/>
          <w:lang w:val="en-US" w:eastAsia="zh-CN"/>
        </w:rPr>
        <w:t>1</w:t>
      </w:r>
      <w:r>
        <w:rPr>
          <w:rFonts w:hint="eastAsia" w:eastAsia="仿宋_GB2312" w:cstheme="minorBidi"/>
          <w:sz w:val="32"/>
          <w:szCs w:val="32"/>
          <w:u w:val="none"/>
        </w:rPr>
        <w:t>家，具体包括：</w:t>
      </w:r>
      <w:r>
        <w:rPr>
          <w:rFonts w:hint="eastAsia" w:eastAsia="仿宋_GB2312" w:cstheme="minorBidi"/>
          <w:sz w:val="32"/>
          <w:szCs w:val="32"/>
          <w:u w:val="none"/>
          <w:lang w:eastAsia="zh-CN"/>
        </w:rPr>
        <w:t>包头市林业和草原灾害防控中心</w:t>
      </w:r>
      <w:r>
        <w:rPr>
          <w:rFonts w:hint="eastAsia" w:eastAsia="仿宋_GB2312" w:cstheme="minorBidi"/>
          <w:sz w:val="32"/>
          <w:szCs w:val="32"/>
          <w:u w:val="none"/>
        </w:rPr>
        <w:t>。</w:t>
      </w:r>
    </w:p>
    <w:p w14:paraId="4B18C729">
      <w:pPr>
        <w:pageBreakBefore w:val="0"/>
        <w:tabs>
          <w:tab w:val="left" w:pos="3532"/>
        </w:tabs>
        <w:kinsoku/>
        <w:wordWrap/>
        <w:overflowPunct/>
        <w:topLinePunct w:val="0"/>
        <w:autoSpaceDE w:val="0"/>
        <w:autoSpaceDN w:val="0"/>
        <w:bidi w:val="0"/>
        <w:adjustRightInd w:val="0"/>
        <w:spacing w:line="600" w:lineRule="exact"/>
        <w:jc w:val="center"/>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单位情况表</w:t>
      </w:r>
    </w:p>
    <w:tbl>
      <w:tblPr>
        <w:tblStyle w:val="19"/>
        <w:tblpPr w:leftFromText="180" w:rightFromText="180" w:vertAnchor="text" w:horzAnchor="page" w:tblpX="1745" w:tblpY="190"/>
        <w:tblOverlap w:val="never"/>
        <w:tblW w:w="9347" w:type="dxa"/>
        <w:tblInd w:w="0" w:type="dxa"/>
        <w:tblLayout w:type="fixed"/>
        <w:tblCellMar>
          <w:top w:w="0" w:type="dxa"/>
          <w:left w:w="108" w:type="dxa"/>
          <w:bottom w:w="0" w:type="dxa"/>
          <w:right w:w="108" w:type="dxa"/>
        </w:tblCellMar>
      </w:tblPr>
      <w:tblGrid>
        <w:gridCol w:w="876"/>
        <w:gridCol w:w="4043"/>
        <w:gridCol w:w="4428"/>
      </w:tblGrid>
      <w:tr w14:paraId="2E842B69">
        <w:tblPrEx>
          <w:tblCellMar>
            <w:top w:w="0" w:type="dxa"/>
            <w:left w:w="108" w:type="dxa"/>
            <w:bottom w:w="0" w:type="dxa"/>
            <w:right w:w="108" w:type="dxa"/>
          </w:tblCellMar>
        </w:tblPrEx>
        <w:trPr>
          <w:trHeight w:val="595" w:hRule="atLeast"/>
        </w:trPr>
        <w:tc>
          <w:tcPr>
            <w:tcW w:w="876" w:type="dxa"/>
            <w:tcBorders>
              <w:top w:val="single" w:color="auto" w:sz="4" w:space="0"/>
              <w:left w:val="single" w:color="auto" w:sz="4" w:space="0"/>
              <w:bottom w:val="single" w:color="auto" w:sz="4" w:space="0"/>
              <w:right w:val="single" w:color="auto" w:sz="4" w:space="0"/>
            </w:tcBorders>
            <w:vAlign w:val="center"/>
          </w:tcPr>
          <w:p w14:paraId="5B205F48">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序号</w:t>
            </w:r>
          </w:p>
        </w:tc>
        <w:tc>
          <w:tcPr>
            <w:tcW w:w="4043" w:type="dxa"/>
            <w:tcBorders>
              <w:top w:val="single" w:color="auto" w:sz="4" w:space="0"/>
              <w:left w:val="nil"/>
              <w:bottom w:val="single" w:color="auto" w:sz="4" w:space="0"/>
              <w:right w:val="single" w:color="auto" w:sz="4" w:space="0"/>
            </w:tcBorders>
            <w:vAlign w:val="center"/>
          </w:tcPr>
          <w:p w14:paraId="2D06346C">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单位名称</w:t>
            </w:r>
          </w:p>
        </w:tc>
        <w:tc>
          <w:tcPr>
            <w:tcW w:w="4428" w:type="dxa"/>
            <w:tcBorders>
              <w:top w:val="single" w:color="auto" w:sz="4" w:space="0"/>
              <w:left w:val="nil"/>
              <w:bottom w:val="single" w:color="auto" w:sz="4" w:space="0"/>
              <w:right w:val="single" w:color="auto" w:sz="4" w:space="0"/>
            </w:tcBorders>
            <w:vAlign w:val="center"/>
          </w:tcPr>
          <w:p w14:paraId="2EF4C5AC">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单位性质</w:t>
            </w:r>
          </w:p>
        </w:tc>
      </w:tr>
      <w:tr w14:paraId="3A90C263">
        <w:tblPrEx>
          <w:tblCellMar>
            <w:top w:w="0" w:type="dxa"/>
            <w:left w:w="108" w:type="dxa"/>
            <w:bottom w:w="0" w:type="dxa"/>
            <w:right w:w="108" w:type="dxa"/>
          </w:tblCellMar>
        </w:tblPrEx>
        <w:trPr>
          <w:trHeight w:val="364" w:hRule="atLeast"/>
        </w:trPr>
        <w:tc>
          <w:tcPr>
            <w:tcW w:w="876" w:type="dxa"/>
            <w:tcBorders>
              <w:top w:val="nil"/>
              <w:left w:val="single" w:color="auto" w:sz="4" w:space="0"/>
              <w:bottom w:val="single" w:color="auto" w:sz="4" w:space="0"/>
              <w:right w:val="single" w:color="auto" w:sz="4" w:space="0"/>
            </w:tcBorders>
            <w:vAlign w:val="center"/>
          </w:tcPr>
          <w:p w14:paraId="0B8248B0">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 w:hAnsi="仿宋" w:eastAsia="仿宋" w:cs="仿宋"/>
                <w:kern w:val="0"/>
                <w:sz w:val="30"/>
                <w:szCs w:val="30"/>
                <w:u w:val="none"/>
              </w:rPr>
              <w:t>1</w:t>
            </w:r>
          </w:p>
        </w:tc>
        <w:tc>
          <w:tcPr>
            <w:tcW w:w="4043" w:type="dxa"/>
            <w:tcBorders>
              <w:top w:val="nil"/>
              <w:left w:val="nil"/>
              <w:bottom w:val="single" w:color="auto" w:sz="4" w:space="0"/>
              <w:right w:val="single" w:color="auto" w:sz="4" w:space="0"/>
            </w:tcBorders>
            <w:vAlign w:val="center"/>
          </w:tcPr>
          <w:p w14:paraId="35D9889A">
            <w:pPr>
              <w:pageBreakBefore w:val="0"/>
              <w:widowControl/>
              <w:kinsoku/>
              <w:wordWrap/>
              <w:overflowPunct/>
              <w:topLinePunct w:val="0"/>
              <w:bidi w:val="0"/>
              <w:spacing w:line="600" w:lineRule="exact"/>
              <w:rPr>
                <w:rFonts w:hint="eastAsia" w:ascii="仿宋" w:hAnsi="仿宋" w:eastAsia="仿宋" w:cs="仿宋"/>
                <w:kern w:val="0"/>
                <w:sz w:val="30"/>
                <w:szCs w:val="30"/>
                <w:u w:val="none"/>
                <w:lang w:eastAsia="zh-CN"/>
              </w:rPr>
            </w:pPr>
            <w:r>
              <w:rPr>
                <w:rFonts w:hint="eastAsia" w:ascii="仿宋" w:hAnsi="仿宋" w:eastAsia="仿宋" w:cs="仿宋"/>
                <w:kern w:val="0"/>
                <w:sz w:val="30"/>
                <w:szCs w:val="30"/>
                <w:u w:val="none"/>
                <w:lang w:eastAsia="zh-CN"/>
              </w:rPr>
              <w:t>包头市林业和草原灾害防控中心</w:t>
            </w:r>
          </w:p>
        </w:tc>
        <w:tc>
          <w:tcPr>
            <w:tcW w:w="4428" w:type="dxa"/>
            <w:tcBorders>
              <w:top w:val="nil"/>
              <w:left w:val="nil"/>
              <w:bottom w:val="single" w:color="auto" w:sz="4" w:space="0"/>
              <w:right w:val="single" w:color="auto" w:sz="4" w:space="0"/>
            </w:tcBorders>
            <w:vAlign w:val="center"/>
          </w:tcPr>
          <w:p w14:paraId="6482EA90">
            <w:pPr>
              <w:pageBreakBefore w:val="0"/>
              <w:widowControl/>
              <w:kinsoku/>
              <w:wordWrap/>
              <w:overflowPunct/>
              <w:topLinePunct w:val="0"/>
              <w:bidi w:val="0"/>
              <w:spacing w:line="600" w:lineRule="exact"/>
              <w:rPr>
                <w:rFonts w:hint="eastAsia" w:ascii="仿宋" w:hAnsi="仿宋" w:eastAsia="仿宋" w:cs="仿宋"/>
                <w:kern w:val="0"/>
                <w:sz w:val="30"/>
                <w:szCs w:val="30"/>
                <w:u w:val="none"/>
                <w:lang w:eastAsia="zh-CN"/>
              </w:rPr>
            </w:pPr>
            <w:r>
              <w:rPr>
                <w:rFonts w:hint="eastAsia" w:ascii="仿宋" w:hAnsi="仿宋" w:eastAsia="仿宋" w:cs="仿宋"/>
                <w:kern w:val="0"/>
                <w:sz w:val="30"/>
                <w:szCs w:val="30"/>
                <w:u w:val="none"/>
                <w:lang w:eastAsia="zh-CN"/>
              </w:rPr>
              <w:t>公益一类事业单位</w:t>
            </w:r>
          </w:p>
        </w:tc>
      </w:tr>
    </w:tbl>
    <w:p w14:paraId="2E8FE2DE">
      <w:pPr>
        <w:pageBreakBefore w:val="0"/>
        <w:kinsoku/>
        <w:wordWrap/>
        <w:overflowPunct/>
        <w:topLinePunct w:val="0"/>
        <w:bidi w:val="0"/>
        <w:spacing w:line="600" w:lineRule="exact"/>
        <w:rPr>
          <w:rFonts w:eastAsia="仿宋_GB2312" w:cstheme="minorBidi"/>
          <w:sz w:val="32"/>
          <w:szCs w:val="32"/>
          <w:u w:val="none"/>
        </w:rPr>
      </w:pPr>
    </w:p>
    <w:p w14:paraId="2A078DFE">
      <w:pPr>
        <w:pageBreakBefore w:val="0"/>
        <w:kinsoku/>
        <w:wordWrap/>
        <w:overflowPunct/>
        <w:topLinePunct w:val="0"/>
        <w:bidi w:val="0"/>
        <w:spacing w:line="600" w:lineRule="exact"/>
        <w:ind w:firstLine="640" w:firstLineChars="200"/>
        <w:rPr>
          <w:rFonts w:hint="eastAsia" w:eastAsia="黑体" w:cs="黑体"/>
          <w:b w:val="0"/>
          <w:bCs w:val="0"/>
          <w:sz w:val="32"/>
          <w:szCs w:val="36"/>
          <w:u w:val="none"/>
        </w:rPr>
      </w:pPr>
      <w:r>
        <w:rPr>
          <w:rFonts w:hint="eastAsia" w:eastAsia="黑体" w:cs="黑体"/>
          <w:b w:val="0"/>
          <w:bCs w:val="0"/>
          <w:sz w:val="32"/>
          <w:szCs w:val="36"/>
          <w:u w:val="none"/>
        </w:rPr>
        <w:t>三</w:t>
      </w:r>
    </w:p>
    <w:p w14:paraId="6A7FE1F5">
      <w:pPr>
        <w:pageBreakBefore w:val="0"/>
        <w:kinsoku/>
        <w:wordWrap/>
        <w:overflowPunct/>
        <w:topLinePunct w:val="0"/>
        <w:bidi w:val="0"/>
        <w:spacing w:line="600" w:lineRule="exact"/>
        <w:rPr>
          <w:rFonts w:hint="eastAsia" w:eastAsia="黑体" w:cs="黑体"/>
          <w:b w:val="0"/>
          <w:bCs w:val="0"/>
          <w:sz w:val="32"/>
          <w:szCs w:val="36"/>
          <w:u w:val="none"/>
        </w:rPr>
      </w:pPr>
    </w:p>
    <w:p w14:paraId="028B6337">
      <w:pPr>
        <w:pageBreakBefore w:val="0"/>
        <w:kinsoku/>
        <w:wordWrap/>
        <w:overflowPunct/>
        <w:topLinePunct w:val="0"/>
        <w:bidi w:val="0"/>
        <w:spacing w:line="600" w:lineRule="exact"/>
        <w:ind w:left="638" w:leftChars="304" w:firstLine="0" w:firstLineChars="0"/>
        <w:rPr>
          <w:rFonts w:hint="eastAsia" w:eastAsia="黑体" w:cs="黑体"/>
          <w:b w:val="0"/>
          <w:bCs w:val="0"/>
          <w:sz w:val="32"/>
          <w:szCs w:val="36"/>
          <w:u w:val="none"/>
          <w:lang w:val="en-US" w:eastAsia="zh-CN"/>
        </w:rPr>
      </w:pPr>
      <w:r>
        <w:rPr>
          <w:rFonts w:hint="eastAsia" w:eastAsia="黑体" w:cs="黑体"/>
          <w:b w:val="0"/>
          <w:bCs w:val="0"/>
          <w:sz w:val="32"/>
          <w:szCs w:val="36"/>
          <w:u w:val="none"/>
          <w:lang w:val="en-US" w:eastAsia="zh-CN"/>
        </w:rPr>
        <w:t>三</w:t>
      </w:r>
    </w:p>
    <w:p w14:paraId="1CFF3271">
      <w:pPr>
        <w:pageBreakBefore w:val="0"/>
        <w:kinsoku/>
        <w:wordWrap/>
        <w:overflowPunct/>
        <w:topLinePunct w:val="0"/>
        <w:bidi w:val="0"/>
        <w:spacing w:line="600" w:lineRule="exact"/>
        <w:ind w:left="638" w:leftChars="304" w:firstLine="0" w:firstLineChars="0"/>
        <w:rPr>
          <w:rFonts w:hint="eastAsia" w:eastAsia="黑体" w:cs="黑体"/>
          <w:b w:val="0"/>
          <w:bCs w:val="0"/>
          <w:sz w:val="32"/>
          <w:szCs w:val="36"/>
          <w:u w:val="none"/>
          <w:lang w:val="en-US" w:eastAsia="zh-CN"/>
        </w:rPr>
      </w:pPr>
    </w:p>
    <w:p w14:paraId="41203592">
      <w:pPr>
        <w:pageBreakBefore w:val="0"/>
        <w:kinsoku/>
        <w:wordWrap/>
        <w:overflowPunct/>
        <w:topLinePunct w:val="0"/>
        <w:bidi w:val="0"/>
        <w:spacing w:line="600" w:lineRule="exact"/>
        <w:ind w:left="638" w:leftChars="304" w:firstLine="0" w:firstLineChars="0"/>
        <w:rPr>
          <w:rFonts w:ascii="方正小标宋简体" w:hAnsi="方正小标宋简体" w:eastAsia="方正小标宋简体" w:cs="方正小标宋简体"/>
          <w:b w:val="0"/>
          <w:bCs w:val="0"/>
          <w:sz w:val="36"/>
          <w:szCs w:val="36"/>
          <w:u w:val="none"/>
        </w:rPr>
      </w:pPr>
      <w:r>
        <w:rPr>
          <w:rFonts w:hint="eastAsia" w:eastAsia="黑体" w:cs="黑体"/>
          <w:b w:val="0"/>
          <w:bCs w:val="0"/>
          <w:sz w:val="32"/>
          <w:szCs w:val="36"/>
          <w:u w:val="none"/>
          <w:lang w:val="en-US" w:eastAsia="zh-CN"/>
        </w:rPr>
        <w:t>三、2026</w:t>
      </w:r>
      <w:r>
        <w:rPr>
          <w:rFonts w:hint="eastAsia" w:eastAsia="黑体" w:cs="黑体"/>
          <w:b w:val="0"/>
          <w:bCs w:val="0"/>
          <w:sz w:val="32"/>
          <w:szCs w:val="36"/>
          <w:u w:val="none"/>
        </w:rPr>
        <w:t>年单位主要工作任务及目标</w:t>
      </w:r>
    </w:p>
    <w:p w14:paraId="5BC00402">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rPr>
      </w:pPr>
      <w:r>
        <w:rPr>
          <w:rFonts w:hint="eastAsia" w:ascii="Times New Roman" w:hAnsi="Times New Roman" w:eastAsia="仿宋_GB2312" w:cstheme="minorBidi"/>
          <w:sz w:val="32"/>
          <w:szCs w:val="32"/>
          <w:u w:val="none"/>
          <w:lang w:val="en-US" w:eastAsia="zh-CN"/>
        </w:rPr>
        <w:t>1.</w:t>
      </w:r>
      <w:r>
        <w:rPr>
          <w:rFonts w:hint="eastAsia" w:ascii="Times New Roman" w:hAnsi="Times New Roman" w:eastAsia="仿宋_GB2312" w:cstheme="minorBidi"/>
          <w:sz w:val="32"/>
          <w:szCs w:val="32"/>
          <w:u w:val="none"/>
        </w:rPr>
        <w:t>强化监测预警：推进固定监测点建设，持续开展松材线虫病日常监测与专项普查</w:t>
      </w:r>
      <w:r>
        <w:rPr>
          <w:rFonts w:hint="eastAsia" w:ascii="Times New Roman" w:hAnsi="Times New Roman" w:eastAsia="仿宋_GB2312" w:cstheme="minorBidi"/>
          <w:sz w:val="32"/>
          <w:szCs w:val="32"/>
          <w:u w:val="none"/>
          <w:lang w:eastAsia="zh-CN"/>
        </w:rPr>
        <w:t>，</w:t>
      </w:r>
      <w:r>
        <w:rPr>
          <w:rFonts w:hint="eastAsia" w:ascii="Times New Roman" w:hAnsi="Times New Roman" w:eastAsia="仿宋_GB2312" w:cstheme="minorBidi"/>
          <w:sz w:val="32"/>
          <w:szCs w:val="32"/>
          <w:u w:val="none"/>
        </w:rPr>
        <w:t>严格执行24小时值班制度，及时会商研判，做到“早发现、早预警、早防治”。</w:t>
      </w:r>
    </w:p>
    <w:p w14:paraId="49AFA167">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rPr>
      </w:pPr>
      <w:r>
        <w:rPr>
          <w:rFonts w:hint="eastAsia" w:ascii="Times New Roman" w:hAnsi="Times New Roman" w:eastAsia="仿宋_GB2312" w:cstheme="minorBidi"/>
          <w:sz w:val="32"/>
          <w:szCs w:val="32"/>
          <w:u w:val="none"/>
          <w:lang w:val="en-US" w:eastAsia="zh-CN"/>
        </w:rPr>
        <w:t>2.</w:t>
      </w:r>
      <w:r>
        <w:rPr>
          <w:rFonts w:hint="eastAsia" w:ascii="Times New Roman" w:hAnsi="Times New Roman" w:eastAsia="仿宋_GB2312" w:cstheme="minorBidi"/>
          <w:sz w:val="32"/>
          <w:szCs w:val="32"/>
          <w:u w:val="none"/>
        </w:rPr>
        <w:t>科学开展防治：组织专业技术人员下沉基层指导，推广绿色防治技术（如生物制剂、物理诱捕），探索防控新模式；完成自治区下达的林草有害生物防治任务，确保林业无公害防治率、草原绿色防治率达标。</w:t>
      </w:r>
    </w:p>
    <w:p w14:paraId="193196B9">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rPr>
      </w:pPr>
      <w:r>
        <w:rPr>
          <w:rFonts w:hint="eastAsia" w:ascii="Times New Roman" w:hAnsi="Times New Roman" w:eastAsia="仿宋_GB2312" w:cstheme="minorBidi"/>
          <w:sz w:val="32"/>
          <w:szCs w:val="32"/>
          <w:u w:val="none"/>
          <w:lang w:val="en-US" w:eastAsia="zh-CN"/>
        </w:rPr>
        <w:t>3.</w:t>
      </w:r>
      <w:r>
        <w:rPr>
          <w:rFonts w:hint="eastAsia" w:ascii="Times New Roman" w:hAnsi="Times New Roman" w:eastAsia="仿宋_GB2312" w:cstheme="minorBidi"/>
          <w:sz w:val="32"/>
          <w:szCs w:val="32"/>
          <w:u w:val="none"/>
        </w:rPr>
        <w:t>严格检疫监管</w:t>
      </w:r>
      <w:r>
        <w:rPr>
          <w:rFonts w:hint="eastAsia" w:ascii="Times New Roman" w:hAnsi="Times New Roman" w:eastAsia="仿宋_GB2312" w:cstheme="minorBidi"/>
          <w:sz w:val="32"/>
          <w:szCs w:val="32"/>
          <w:u w:val="none"/>
          <w:lang w:eastAsia="zh-CN"/>
        </w:rPr>
        <w:t>、</w:t>
      </w:r>
      <w:r>
        <w:rPr>
          <w:rFonts w:hint="eastAsia" w:ascii="Times New Roman" w:hAnsi="Times New Roman" w:eastAsia="仿宋_GB2312" w:cstheme="minorBidi"/>
          <w:sz w:val="32"/>
          <w:szCs w:val="32"/>
          <w:u w:val="none"/>
          <w:lang w:val="en-US" w:eastAsia="zh-CN"/>
        </w:rPr>
        <w:t>持续推进松材线虫病疫情防控工作</w:t>
      </w:r>
      <w:r>
        <w:rPr>
          <w:rFonts w:hint="eastAsia" w:ascii="Times New Roman" w:hAnsi="Times New Roman" w:eastAsia="仿宋_GB2312" w:cstheme="minorBidi"/>
          <w:sz w:val="32"/>
          <w:szCs w:val="32"/>
          <w:u w:val="none"/>
        </w:rPr>
        <w:t>：严格执行《检疫要求书》制度，持续抓好产地检疫、调运检疫和复检相关工作，严密防范美国白蛾、松材线虫病等外来危险性、检疫性有害生物入侵，充分发挥林业植物检疫在生态建设中</w:t>
      </w:r>
      <w:r>
        <w:rPr>
          <w:rFonts w:hint="eastAsia" w:ascii="Times New Roman" w:hAnsi="Times New Roman" w:eastAsia="仿宋_GB2312" w:cstheme="minorBidi"/>
          <w:sz w:val="32"/>
          <w:szCs w:val="32"/>
          <w:u w:val="none"/>
          <w:lang w:eastAsia="zh-CN"/>
        </w:rPr>
        <w:t>的</w:t>
      </w:r>
      <w:r>
        <w:rPr>
          <w:rFonts w:hint="eastAsia" w:ascii="Times New Roman" w:hAnsi="Times New Roman" w:eastAsia="仿宋_GB2312" w:cstheme="minorBidi"/>
          <w:sz w:val="32"/>
          <w:szCs w:val="32"/>
          <w:u w:val="none"/>
        </w:rPr>
        <w:t>保驾护航作用</w:t>
      </w:r>
      <w:r>
        <w:rPr>
          <w:rFonts w:hint="eastAsia" w:ascii="Times New Roman" w:hAnsi="Times New Roman" w:eastAsia="仿宋_GB2312" w:cstheme="minorBidi"/>
          <w:sz w:val="32"/>
          <w:szCs w:val="32"/>
          <w:u w:val="none"/>
          <w:lang w:eastAsia="zh-CN"/>
        </w:rPr>
        <w:t>；</w:t>
      </w:r>
      <w:r>
        <w:rPr>
          <w:rFonts w:hint="eastAsia" w:ascii="Times New Roman" w:hAnsi="Times New Roman" w:eastAsia="仿宋_GB2312" w:cstheme="minorBidi"/>
          <w:sz w:val="32"/>
          <w:szCs w:val="32"/>
          <w:u w:val="none"/>
          <w:lang w:val="en-US" w:eastAsia="zh-CN"/>
        </w:rPr>
        <w:t>结合包头实际，认真开展日常监测和专项普查，做到及时发现、及时鉴定、及时报告。</w:t>
      </w:r>
    </w:p>
    <w:p w14:paraId="37F8E612">
      <w:pPr>
        <w:pageBreakBefore w:val="0"/>
        <w:kinsoku/>
        <w:wordWrap/>
        <w:overflowPunct/>
        <w:topLinePunct w:val="0"/>
        <w:bidi w:val="0"/>
        <w:spacing w:line="600" w:lineRule="exact"/>
        <w:ind w:firstLine="640" w:firstLineChars="200"/>
        <w:rPr>
          <w:rFonts w:hint="default" w:ascii="Times New Roman" w:hAnsi="Times New Roman" w:eastAsia="仿宋_GB2312" w:cstheme="minorBidi"/>
          <w:sz w:val="32"/>
          <w:szCs w:val="32"/>
          <w:u w:val="none"/>
          <w:lang w:val="en-US" w:eastAsia="zh-CN"/>
        </w:rPr>
      </w:pPr>
      <w:r>
        <w:rPr>
          <w:rFonts w:hint="eastAsia" w:ascii="Times New Roman" w:hAnsi="Times New Roman" w:eastAsia="仿宋_GB2312" w:cstheme="minorBidi"/>
          <w:sz w:val="32"/>
          <w:szCs w:val="32"/>
          <w:u w:val="none"/>
          <w:lang w:val="en-US" w:eastAsia="zh-CN"/>
        </w:rPr>
        <w:t>4.持续推进松树钻蛀类害虫系统调查工作：包头市将持续统筹推进相关工作，进一步压实责任，强化部门间沟通协调与联动配合，常态化开展技术指导和答疑服务，严格做好数据审核及调查结果实地复核，全力保障调查成果完整规范、准确可靠，确保系统调查工作高质量如期完成。</w:t>
      </w:r>
    </w:p>
    <w:p w14:paraId="61D3CED6">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rPr>
      </w:pPr>
      <w:r>
        <w:rPr>
          <w:rFonts w:hint="eastAsia" w:ascii="Times New Roman" w:hAnsi="Times New Roman" w:eastAsia="仿宋_GB2312" w:cstheme="minorBidi"/>
          <w:sz w:val="32"/>
          <w:szCs w:val="32"/>
          <w:u w:val="none"/>
          <w:lang w:val="en-US" w:eastAsia="zh-CN"/>
        </w:rPr>
        <w:t>5.</w:t>
      </w:r>
      <w:r>
        <w:rPr>
          <w:rFonts w:hint="eastAsia" w:ascii="Times New Roman" w:hAnsi="Times New Roman" w:eastAsia="仿宋_GB2312" w:cstheme="minorBidi"/>
          <w:sz w:val="32"/>
          <w:szCs w:val="32"/>
          <w:u w:val="none"/>
        </w:rPr>
        <w:t>加强队伍建设：举办林草有害生物监测、防治、检疫专项培训班，提升基层人员专业能力；优化基层队伍结构，缓解专业人员紧缺问题。</w:t>
      </w:r>
    </w:p>
    <w:p w14:paraId="7CD0E4F9">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rPr>
      </w:pPr>
      <w:r>
        <w:rPr>
          <w:rFonts w:hint="eastAsia" w:ascii="Times New Roman" w:hAnsi="Times New Roman" w:eastAsia="仿宋_GB2312" w:cstheme="minorBidi"/>
          <w:sz w:val="32"/>
          <w:szCs w:val="32"/>
          <w:u w:val="none"/>
          <w:lang w:val="en-US" w:eastAsia="zh-CN"/>
        </w:rPr>
        <w:t>6.</w:t>
      </w:r>
      <w:r>
        <w:rPr>
          <w:rFonts w:hint="eastAsia" w:ascii="Times New Roman" w:hAnsi="Times New Roman" w:eastAsia="仿宋_GB2312" w:cstheme="minorBidi"/>
          <w:sz w:val="32"/>
          <w:szCs w:val="32"/>
          <w:u w:val="none"/>
        </w:rPr>
        <w:t>夯实安全与宣传：指导各地区做好农药安全使用、作业人员防护（竖立警示牌），开展现场督导检查；加大林草生物安全宣传力度，提升公众意识，构建“政府-社会-公众”联防群治格局。</w:t>
      </w:r>
    </w:p>
    <w:p w14:paraId="2D2837E1">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r>
        <w:rPr>
          <w:rFonts w:hint="eastAsia" w:ascii="Times New Roman" w:hAnsi="Times New Roman" w:eastAsia="仿宋_GB2312" w:cstheme="minorBidi"/>
          <w:sz w:val="32"/>
          <w:szCs w:val="32"/>
          <w:u w:val="none"/>
          <w:lang w:val="en-US" w:eastAsia="zh-CN"/>
        </w:rPr>
        <w:t>7.</w:t>
      </w:r>
      <w:r>
        <w:rPr>
          <w:rFonts w:hint="eastAsia" w:ascii="Times New Roman" w:hAnsi="Times New Roman" w:eastAsia="仿宋_GB2312" w:cstheme="minorBidi"/>
          <w:sz w:val="32"/>
          <w:szCs w:val="32"/>
          <w:u w:val="none"/>
        </w:rPr>
        <w:t>完善物资储备：做好防治药剂药械储备与设备维护，保障应急防控需求，提升基层防控硬件水平</w:t>
      </w:r>
      <w:r>
        <w:rPr>
          <w:rFonts w:hint="eastAsia" w:ascii="Times New Roman" w:hAnsi="Times New Roman" w:eastAsia="仿宋_GB2312" w:cstheme="minorBidi"/>
          <w:sz w:val="32"/>
          <w:szCs w:val="32"/>
          <w:u w:val="none"/>
          <w:lang w:eastAsia="zh-CN"/>
        </w:rPr>
        <w:t>。</w:t>
      </w:r>
    </w:p>
    <w:p w14:paraId="3249A2AD">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0157D8BB">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06FC8EC2">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14F7C976">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65490BEC">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4F8407D4">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37B15A1A">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31ABA3B8">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54DB8D39">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2B031EBA">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4BD26AEC">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048F9874">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1152BF6A">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30EB8676">
      <w:pPr>
        <w:pageBreakBefore w:val="0"/>
        <w:kinsoku/>
        <w:wordWrap/>
        <w:overflowPunct/>
        <w:topLinePunct w:val="0"/>
        <w:bidi w:val="0"/>
        <w:spacing w:line="600" w:lineRule="exact"/>
        <w:ind w:firstLine="640" w:firstLineChars="200"/>
        <w:rPr>
          <w:rFonts w:hint="eastAsia" w:ascii="Times New Roman" w:hAnsi="Times New Roman" w:eastAsia="仿宋_GB2312" w:cstheme="minorBidi"/>
          <w:sz w:val="32"/>
          <w:szCs w:val="32"/>
          <w:u w:val="none"/>
          <w:lang w:eastAsia="zh-CN"/>
        </w:rPr>
      </w:pPr>
    </w:p>
    <w:p w14:paraId="46FBF631">
      <w:pPr>
        <w:pageBreakBefore w:val="0"/>
        <w:kinsoku/>
        <w:wordWrap/>
        <w:overflowPunct/>
        <w:topLinePunct w:val="0"/>
        <w:bidi w:val="0"/>
        <w:spacing w:line="600" w:lineRule="exact"/>
        <w:rPr>
          <w:rFonts w:hint="eastAsia" w:ascii="Times New Roman" w:hAnsi="Times New Roman" w:eastAsia="仿宋_GB2312" w:cstheme="minorBidi"/>
          <w:sz w:val="32"/>
          <w:szCs w:val="32"/>
          <w:u w:val="none"/>
          <w:lang w:eastAsia="zh-CN"/>
        </w:rPr>
      </w:pPr>
    </w:p>
    <w:p w14:paraId="108FA7A3">
      <w:pPr>
        <w:pStyle w:val="5"/>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b w:val="0"/>
          <w:bCs w:val="0"/>
          <w:sz w:val="36"/>
          <w:szCs w:val="36"/>
          <w:u w:val="none"/>
        </w:rPr>
        <w:t>第二部分</w:t>
      </w:r>
      <w:r>
        <w:rPr>
          <w:rFonts w:hint="eastAsia" w:ascii="方正小标宋简体" w:hAnsi="方正小标宋简体" w:eastAsia="方正小标宋简体" w:cs="方正小标宋简体"/>
          <w:b w:val="0"/>
          <w:bCs w:val="0"/>
          <w:sz w:val="36"/>
          <w:szCs w:val="36"/>
          <w:u w:val="none"/>
          <w:lang w:val="en-US" w:eastAsia="zh-CN"/>
        </w:rPr>
        <w:t>2026</w:t>
      </w:r>
      <w:r>
        <w:rPr>
          <w:rFonts w:hint="eastAsia" w:ascii="方正小标宋简体" w:hAnsi="方正小标宋简体" w:eastAsia="方正小标宋简体" w:cs="方正小标宋简体"/>
          <w:b w:val="0"/>
          <w:bCs w:val="0"/>
          <w:sz w:val="36"/>
          <w:szCs w:val="36"/>
          <w:u w:val="none"/>
        </w:rPr>
        <w:t>年度单位预算情况说明</w:t>
      </w:r>
    </w:p>
    <w:p w14:paraId="1B938BD0">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u w:val="none"/>
        </w:rPr>
      </w:pPr>
    </w:p>
    <w:p w14:paraId="00366D2A">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一、收支预算总体情况说明</w:t>
      </w:r>
    </w:p>
    <w:p w14:paraId="106198AF">
      <w:pPr>
        <w:pStyle w:val="8"/>
        <w:pageBreakBefore w:val="0"/>
        <w:tabs>
          <w:tab w:val="left" w:pos="5840"/>
          <w:tab w:val="left" w:pos="7858"/>
          <w:tab w:val="left" w:pos="9328"/>
        </w:tabs>
        <w:kinsoku/>
        <w:wordWrap/>
        <w:overflowPunct/>
        <w:topLinePunct w:val="0"/>
        <w:bidi w:val="0"/>
        <w:spacing w:after="0"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包头市林业和草原灾害防控中心</w:t>
      </w:r>
      <w:r>
        <w:rPr>
          <w:rFonts w:hint="eastAsia" w:eastAsia="仿宋_GB2312" w:cs="Times New Roman"/>
          <w:sz w:val="32"/>
          <w:szCs w:val="32"/>
          <w:u w:val="none"/>
          <w:lang w:val="en-US" w:eastAsia="zh-CN"/>
        </w:rPr>
        <w:t>2026</w:t>
      </w:r>
      <w:r>
        <w:rPr>
          <w:rFonts w:hint="eastAsia" w:ascii="仿宋_GB2312" w:hAnsi="仿宋_GB2312" w:eastAsia="仿宋_GB2312" w:cs="仿宋_GB2312"/>
          <w:sz w:val="32"/>
          <w:szCs w:val="32"/>
          <w:u w:val="none"/>
        </w:rPr>
        <w:t>年度收入、支出预算总计</w:t>
      </w:r>
      <w:r>
        <w:rPr>
          <w:rFonts w:hint="eastAsia" w:ascii="仿宋_GB2312" w:hAnsi="仿宋_GB2312" w:eastAsia="仿宋_GB2312" w:cs="仿宋_GB2312"/>
          <w:sz w:val="32"/>
          <w:szCs w:val="32"/>
          <w:u w:val="none"/>
          <w:lang w:val="en-US" w:eastAsia="zh-CN"/>
        </w:rPr>
        <w:t>488.05</w:t>
      </w:r>
      <w:r>
        <w:rPr>
          <w:rFonts w:hint="eastAsia" w:ascii="仿宋_GB2312" w:hAnsi="仿宋_GB2312" w:eastAsia="仿宋_GB2312" w:cs="仿宋_GB2312"/>
          <w:sz w:val="32"/>
          <w:szCs w:val="32"/>
          <w:u w:val="none"/>
        </w:rPr>
        <w:t>万元，与上年相比收、支预算总计各增加</w:t>
      </w:r>
      <w:r>
        <w:rPr>
          <w:rFonts w:hint="eastAsia" w:ascii="仿宋_GB2312" w:hAnsi="仿宋_GB2312" w:eastAsia="仿宋_GB2312" w:cs="仿宋_GB2312"/>
          <w:sz w:val="32"/>
          <w:szCs w:val="32"/>
          <w:u w:val="none"/>
          <w:lang w:val="en-US" w:eastAsia="zh-CN"/>
        </w:rPr>
        <w:t>74.33</w:t>
      </w:r>
      <w:r>
        <w:rPr>
          <w:rFonts w:hint="eastAsia" w:ascii="仿宋_GB2312" w:hAnsi="仿宋_GB2312" w:eastAsia="仿宋_GB2312" w:cs="仿宋_GB2312"/>
          <w:sz w:val="32"/>
          <w:szCs w:val="32"/>
          <w:u w:val="none"/>
        </w:rPr>
        <w:t>万元，增长</w:t>
      </w:r>
      <w:r>
        <w:rPr>
          <w:rFonts w:hint="eastAsia" w:ascii="仿宋_GB2312" w:hAnsi="仿宋_GB2312" w:eastAsia="仿宋_GB2312" w:cs="仿宋_GB2312"/>
          <w:sz w:val="32"/>
          <w:szCs w:val="32"/>
          <w:u w:val="none"/>
          <w:lang w:val="en-US" w:eastAsia="zh-CN"/>
        </w:rPr>
        <w:t>17.97</w:t>
      </w:r>
      <w:r>
        <w:rPr>
          <w:rFonts w:hint="eastAsia" w:ascii="仿宋_GB2312" w:hAnsi="仿宋_GB2312" w:eastAsia="仿宋_GB2312" w:cs="仿宋_GB2312"/>
          <w:sz w:val="32"/>
          <w:szCs w:val="32"/>
          <w:u w:val="none"/>
        </w:rPr>
        <w:t>%。其中：</w:t>
      </w:r>
    </w:p>
    <w:p w14:paraId="57E0D944">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（一）收入预算总计</w:t>
      </w:r>
      <w:r>
        <w:rPr>
          <w:rFonts w:hint="eastAsia" w:ascii="仿宋" w:hAnsi="仿宋" w:eastAsia="仿宋" w:cs="仿宋"/>
          <w:sz w:val="32"/>
          <w:szCs w:val="32"/>
          <w:u w:val="none"/>
          <w:lang w:val="en-US" w:eastAsia="zh-CN"/>
        </w:rPr>
        <w:t>488.05</w:t>
      </w:r>
      <w:r>
        <w:rPr>
          <w:rFonts w:hint="eastAsia" w:ascii="楷体" w:hAnsi="楷体" w:eastAsia="楷体" w:cs="楷体"/>
          <w:b/>
          <w:bCs/>
          <w:sz w:val="32"/>
          <w:szCs w:val="32"/>
          <w:u w:val="none"/>
        </w:rPr>
        <w:t>万元。包括：</w:t>
      </w:r>
    </w:p>
    <w:p w14:paraId="04CBB4C1">
      <w:pPr>
        <w:pStyle w:val="8"/>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1．本年收入合计</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w:t>
      </w:r>
    </w:p>
    <w:p w14:paraId="424406AE">
      <w:pPr>
        <w:pStyle w:val="8"/>
        <w:pageBreakBefore w:val="0"/>
        <w:tabs>
          <w:tab w:val="left" w:pos="1389"/>
          <w:tab w:val="left" w:pos="4911"/>
          <w:tab w:val="left" w:pos="589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（1）一般公共预算拨款收入</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74.33</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17.97</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：一是本年在职人员增加两人，人员经费及公用经费收入增加；二是人员工资机构调整，社保缴费基数调整，住房公积金缴存基数调整，收入增加；三是新增退休人员地方补贴项目，收入增加</w:t>
      </w:r>
      <w:r>
        <w:rPr>
          <w:rFonts w:hint="default" w:ascii="Times New Roman" w:hAnsi="Times New Roman" w:eastAsia="仿宋_GB2312" w:cs="Times New Roman"/>
          <w:sz w:val="32"/>
          <w:szCs w:val="32"/>
          <w:u w:val="none"/>
        </w:rPr>
        <w:t>。</w:t>
      </w:r>
    </w:p>
    <w:p w14:paraId="234B449A">
      <w:pPr>
        <w:pStyle w:val="8"/>
        <w:pageBreakBefore w:val="0"/>
        <w:tabs>
          <w:tab w:val="left" w:pos="1389"/>
          <w:tab w:val="left" w:pos="4911"/>
          <w:tab w:val="left" w:pos="599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（2）政府性基金预算拨款收入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 xml:space="preserve"> 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0C815653">
      <w:pPr>
        <w:pStyle w:val="8"/>
        <w:pageBreakBefore w:val="0"/>
        <w:tabs>
          <w:tab w:val="left" w:pos="1389"/>
          <w:tab w:val="left" w:pos="4911"/>
          <w:tab w:val="left" w:pos="6205"/>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（3）国有资本经营预算拨款收入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18256D1A">
      <w:pPr>
        <w:pStyle w:val="8"/>
        <w:pageBreakBefore w:val="0"/>
        <w:tabs>
          <w:tab w:val="left" w:pos="1389"/>
          <w:tab w:val="left" w:pos="4911"/>
          <w:tab w:val="left" w:pos="589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（4）财政专户管理资金收入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1B6FA01D">
      <w:pPr>
        <w:pStyle w:val="8"/>
        <w:pageBreakBefore w:val="0"/>
        <w:tabs>
          <w:tab w:val="left" w:pos="3310"/>
          <w:tab w:val="left" w:pos="3807"/>
          <w:tab w:val="left" w:pos="9433"/>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（5）事业收入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0D38104D">
      <w:pPr>
        <w:pStyle w:val="8"/>
        <w:pageBreakBefore w:val="0"/>
        <w:tabs>
          <w:tab w:val="left" w:pos="1389"/>
          <w:tab w:val="left" w:pos="4911"/>
          <w:tab w:val="left" w:pos="590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（6）事业单位经营收入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50F1978C">
      <w:pPr>
        <w:pStyle w:val="8"/>
        <w:pageBreakBefore w:val="0"/>
        <w:tabs>
          <w:tab w:val="left" w:pos="4320"/>
          <w:tab w:val="left" w:pos="9433"/>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（7）上级补助收入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61393859">
      <w:pPr>
        <w:pStyle w:val="8"/>
        <w:pageBreakBefore w:val="0"/>
        <w:tabs>
          <w:tab w:val="left" w:pos="1389"/>
          <w:tab w:val="left" w:pos="4911"/>
          <w:tab w:val="left" w:pos="590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（8）附属单位上缴收入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0039F0EB">
      <w:pPr>
        <w:pStyle w:val="8"/>
        <w:pageBreakBefore w:val="0"/>
        <w:tabs>
          <w:tab w:val="left" w:pos="3310"/>
          <w:tab w:val="left" w:pos="4121"/>
          <w:tab w:val="left" w:pos="943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（9）其他收入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0FC518C8">
      <w:pPr>
        <w:pStyle w:val="8"/>
        <w:pageBreakBefore w:val="0"/>
        <w:tabs>
          <w:tab w:val="left" w:pos="3310"/>
          <w:tab w:val="left" w:pos="4280"/>
          <w:tab w:val="left" w:pos="943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2．上年结转结余为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2AA96935">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（二）支出预算总计</w:t>
      </w:r>
      <w:r>
        <w:rPr>
          <w:rFonts w:hint="eastAsia" w:ascii="仿宋" w:hAnsi="仿宋" w:eastAsia="仿宋" w:cs="仿宋"/>
          <w:sz w:val="32"/>
          <w:szCs w:val="32"/>
          <w:u w:val="none"/>
          <w:lang w:val="en-US" w:eastAsia="zh-CN"/>
        </w:rPr>
        <w:t>488.05</w:t>
      </w:r>
      <w:r>
        <w:rPr>
          <w:rFonts w:hint="eastAsia" w:ascii="楷体" w:hAnsi="楷体" w:eastAsia="楷体" w:cs="楷体"/>
          <w:b/>
          <w:bCs/>
          <w:sz w:val="32"/>
          <w:szCs w:val="32"/>
          <w:u w:val="none"/>
        </w:rPr>
        <w:t>万元。包括：</w:t>
      </w:r>
    </w:p>
    <w:p w14:paraId="3B450550">
      <w:pPr>
        <w:pStyle w:val="8"/>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1．本年支出合计</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w:t>
      </w:r>
    </w:p>
    <w:p w14:paraId="67DF34A7">
      <w:pPr>
        <w:pStyle w:val="8"/>
        <w:pageBreakBefore w:val="0"/>
        <w:tabs>
          <w:tab w:val="left" w:pos="3288"/>
          <w:tab w:val="left" w:pos="5641"/>
          <w:tab w:val="left" w:pos="677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（1）社会保障和就业（类）支出</w:t>
      </w:r>
      <w:r>
        <w:rPr>
          <w:rFonts w:hint="eastAsia" w:eastAsia="仿宋_GB2312" w:cs="Times New Roman"/>
          <w:sz w:val="32"/>
          <w:szCs w:val="32"/>
          <w:u w:val="none"/>
          <w:lang w:val="en-US" w:eastAsia="zh-CN"/>
        </w:rPr>
        <w:t>59.97</w:t>
      </w:r>
      <w:r>
        <w:rPr>
          <w:rFonts w:hint="default" w:ascii="Times New Roman" w:hAnsi="Times New Roman" w:eastAsia="仿宋_GB2312" w:cs="Times New Roman"/>
          <w:sz w:val="32"/>
          <w:szCs w:val="32"/>
          <w:u w:val="none"/>
        </w:rPr>
        <w:t>万元，主要用于</w:t>
      </w:r>
      <w:r>
        <w:rPr>
          <w:rFonts w:hint="eastAsia" w:eastAsia="仿宋_GB2312" w:cs="Times New Roman"/>
          <w:sz w:val="32"/>
          <w:szCs w:val="32"/>
          <w:u w:val="none"/>
          <w:lang w:eastAsia="zh-CN"/>
        </w:rPr>
        <w:t>事业单位养老保险缴费支出及退休人员经费支出</w:t>
      </w:r>
      <w:r>
        <w:rPr>
          <w:rFonts w:hint="default" w:ascii="Times New Roman" w:hAnsi="Times New Roman" w:eastAsia="仿宋_GB2312" w:cs="Times New Roman"/>
          <w:sz w:val="32"/>
          <w:szCs w:val="32"/>
          <w:u w:val="none"/>
        </w:rPr>
        <w:t>。与上年相比增加</w:t>
      </w:r>
      <w:r>
        <w:rPr>
          <w:rFonts w:hint="eastAsia" w:eastAsia="仿宋_GB2312" w:cs="Times New Roman"/>
          <w:sz w:val="32"/>
          <w:szCs w:val="32"/>
          <w:u w:val="none"/>
          <w:lang w:val="en-US" w:eastAsia="zh-CN"/>
        </w:rPr>
        <w:t>13.18</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28.17</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：一是本年在职人员增加两人，养老保险缴费支出增加；二是人员社保缴费基数调整，支出增加；三是新增退休人员地方补贴项目，支出增加</w:t>
      </w:r>
      <w:r>
        <w:rPr>
          <w:rFonts w:hint="default" w:ascii="Times New Roman" w:hAnsi="Times New Roman" w:eastAsia="仿宋_GB2312" w:cs="Times New Roman"/>
          <w:sz w:val="32"/>
          <w:szCs w:val="32"/>
          <w:u w:val="none"/>
        </w:rPr>
        <w:t>。</w:t>
      </w:r>
    </w:p>
    <w:p w14:paraId="3BF21721">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（2）卫生健康（类）支出</w:t>
      </w:r>
      <w:r>
        <w:rPr>
          <w:rFonts w:hint="eastAsia" w:eastAsia="仿宋_GB2312" w:cs="Times New Roman"/>
          <w:sz w:val="32"/>
          <w:szCs w:val="32"/>
          <w:u w:val="none"/>
          <w:lang w:val="en-US" w:eastAsia="zh-CN"/>
        </w:rPr>
        <w:t>17.36</w:t>
      </w:r>
      <w:r>
        <w:rPr>
          <w:rFonts w:hint="default" w:ascii="Times New Roman" w:hAnsi="Times New Roman" w:eastAsia="仿宋_GB2312" w:cs="Times New Roman"/>
          <w:sz w:val="32"/>
          <w:szCs w:val="32"/>
          <w:u w:val="none"/>
        </w:rPr>
        <w:t>万元，主要用于</w:t>
      </w:r>
      <w:r>
        <w:rPr>
          <w:rFonts w:hint="eastAsia" w:eastAsia="仿宋_GB2312" w:cs="Times New Roman"/>
          <w:sz w:val="32"/>
          <w:szCs w:val="32"/>
          <w:u w:val="none"/>
          <w:lang w:eastAsia="zh-CN"/>
        </w:rPr>
        <w:t>事业单位医疗保险缴费支出</w:t>
      </w:r>
      <w:r>
        <w:rPr>
          <w:rFonts w:hint="default" w:ascii="Times New Roman" w:hAnsi="Times New Roman" w:eastAsia="仿宋_GB2312" w:cs="Times New Roman"/>
          <w:sz w:val="32"/>
          <w:szCs w:val="32"/>
          <w:u w:val="none"/>
        </w:rPr>
        <w:t>。与上年相比增加</w:t>
      </w:r>
      <w:r>
        <w:rPr>
          <w:rFonts w:hint="eastAsia" w:eastAsia="仿宋_GB2312" w:cs="Times New Roman"/>
          <w:sz w:val="32"/>
          <w:szCs w:val="32"/>
          <w:u w:val="none"/>
          <w:lang w:val="en-US" w:eastAsia="zh-CN"/>
        </w:rPr>
        <w:t>2.73</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18.66</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：一是本年在职人员增加两人，医疗保险缴费支出增加；二是人员社保缴费基数调整，支出增加</w:t>
      </w:r>
      <w:r>
        <w:rPr>
          <w:rFonts w:hint="default" w:ascii="Times New Roman" w:hAnsi="Times New Roman" w:eastAsia="仿宋_GB2312" w:cs="Times New Roman"/>
          <w:sz w:val="32"/>
          <w:szCs w:val="32"/>
          <w:u w:val="none"/>
        </w:rPr>
        <w:t>。</w:t>
      </w:r>
    </w:p>
    <w:p w14:paraId="5FA50043">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eastAsia="仿宋_GB2312" w:cs="Times New Roman"/>
          <w:sz w:val="32"/>
          <w:szCs w:val="32"/>
          <w:u w:val="none"/>
          <w:lang w:eastAsia="zh-CN"/>
        </w:rPr>
      </w:pPr>
      <w:r>
        <w:rPr>
          <w:rFonts w:hint="eastAsia" w:eastAsia="仿宋_GB2312" w:cs="Times New Roman"/>
          <w:sz w:val="32"/>
          <w:szCs w:val="32"/>
          <w:u w:val="none"/>
          <w:lang w:eastAsia="zh-CN"/>
        </w:rPr>
        <w:t>（</w:t>
      </w:r>
      <w:r>
        <w:rPr>
          <w:rFonts w:hint="eastAsia" w:eastAsia="仿宋_GB2312" w:cs="Times New Roman"/>
          <w:sz w:val="32"/>
          <w:szCs w:val="32"/>
          <w:u w:val="none"/>
          <w:lang w:val="en-US" w:eastAsia="zh-CN"/>
        </w:rPr>
        <w:t>3</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农林水（类）支出</w:t>
      </w:r>
      <w:r>
        <w:rPr>
          <w:rFonts w:hint="eastAsia" w:eastAsia="仿宋_GB2312" w:cs="Times New Roman"/>
          <w:sz w:val="32"/>
          <w:szCs w:val="32"/>
          <w:u w:val="none"/>
          <w:lang w:val="en-US" w:eastAsia="zh-CN"/>
        </w:rPr>
        <w:t>377.64</w:t>
      </w:r>
      <w:r>
        <w:rPr>
          <w:rFonts w:hint="default" w:ascii="Times New Roman" w:hAnsi="Times New Roman" w:eastAsia="仿宋_GB2312" w:cs="Times New Roman"/>
          <w:sz w:val="32"/>
          <w:szCs w:val="32"/>
          <w:u w:val="none"/>
        </w:rPr>
        <w:t>万元，主要用于</w:t>
      </w:r>
      <w:r>
        <w:rPr>
          <w:rFonts w:hint="eastAsia" w:eastAsia="仿宋_GB2312" w:cs="Times New Roman"/>
          <w:sz w:val="32"/>
          <w:szCs w:val="32"/>
          <w:u w:val="none"/>
          <w:lang w:eastAsia="zh-CN"/>
        </w:rPr>
        <w:t>人员工资、社保等支出，日常公用经费支出以及项目支出</w:t>
      </w:r>
      <w:r>
        <w:rPr>
          <w:rFonts w:hint="default" w:ascii="Times New Roman" w:hAnsi="Times New Roman" w:eastAsia="仿宋_GB2312" w:cs="Times New Roman"/>
          <w:sz w:val="32"/>
          <w:szCs w:val="32"/>
          <w:u w:val="none"/>
        </w:rPr>
        <w:t>。与上年相比增加</w:t>
      </w:r>
      <w:r>
        <w:rPr>
          <w:rFonts w:hint="eastAsia" w:eastAsia="仿宋_GB2312" w:cs="Times New Roman"/>
          <w:sz w:val="32"/>
          <w:szCs w:val="32"/>
          <w:u w:val="none"/>
          <w:lang w:val="en-US" w:eastAsia="zh-CN"/>
        </w:rPr>
        <w:t>53.31</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16.44</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：一是本年在职人员增加两人，人员经费及公用经费支出增加；二是人员工资机构调整，社保缴费基数调整，支出增加。</w:t>
      </w:r>
    </w:p>
    <w:p w14:paraId="010F7859">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eastAsia="仿宋_GB2312" w:cs="Times New Roman"/>
          <w:sz w:val="32"/>
          <w:szCs w:val="32"/>
          <w:u w:val="none"/>
          <w:lang w:eastAsia="zh-CN"/>
        </w:rPr>
      </w:pP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）住房保障（类）支出</w:t>
      </w:r>
      <w:r>
        <w:rPr>
          <w:rFonts w:hint="eastAsia" w:eastAsia="仿宋_GB2312" w:cs="Times New Roman"/>
          <w:sz w:val="32"/>
          <w:szCs w:val="32"/>
          <w:u w:val="none"/>
          <w:lang w:val="en-US" w:eastAsia="zh-CN"/>
        </w:rPr>
        <w:t>33.08</w:t>
      </w:r>
      <w:r>
        <w:rPr>
          <w:rFonts w:hint="default" w:ascii="Times New Roman" w:hAnsi="Times New Roman" w:eastAsia="仿宋_GB2312" w:cs="Times New Roman"/>
          <w:sz w:val="32"/>
          <w:szCs w:val="32"/>
          <w:u w:val="none"/>
        </w:rPr>
        <w:t>万元，主要用于</w:t>
      </w:r>
      <w:r>
        <w:rPr>
          <w:rFonts w:hint="eastAsia" w:eastAsia="仿宋_GB2312" w:cs="Times New Roman"/>
          <w:sz w:val="32"/>
          <w:szCs w:val="32"/>
          <w:u w:val="none"/>
          <w:lang w:eastAsia="zh-CN"/>
        </w:rPr>
        <w:t>事业单位住房公积金汇缴支出</w:t>
      </w:r>
      <w:r>
        <w:rPr>
          <w:rFonts w:hint="default" w:ascii="Times New Roman" w:hAnsi="Times New Roman" w:eastAsia="仿宋_GB2312" w:cs="Times New Roman"/>
          <w:sz w:val="32"/>
          <w:szCs w:val="32"/>
          <w:u w:val="none"/>
        </w:rPr>
        <w:t>。与上年相比增加</w:t>
      </w:r>
      <w:r>
        <w:rPr>
          <w:rFonts w:hint="eastAsia" w:eastAsia="仿宋_GB2312" w:cs="Times New Roman"/>
          <w:sz w:val="32"/>
          <w:szCs w:val="32"/>
          <w:u w:val="none"/>
          <w:lang w:val="en-US" w:eastAsia="zh-CN"/>
        </w:rPr>
        <w:t>5.11</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18.27</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：一是本年在职人员增加两人，住房公积金汇缴支出增加；二是住房公积金缴存基数调整，支出增加</w:t>
      </w:r>
      <w:r>
        <w:rPr>
          <w:rFonts w:hint="default" w:ascii="Times New Roman" w:hAnsi="Times New Roman" w:eastAsia="仿宋_GB2312" w:cs="Times New Roman"/>
          <w:sz w:val="32"/>
          <w:szCs w:val="32"/>
          <w:u w:val="none"/>
        </w:rPr>
        <w:t>。</w:t>
      </w:r>
    </w:p>
    <w:p w14:paraId="232BA4C6">
      <w:pPr>
        <w:pStyle w:val="8"/>
        <w:pageBreakBefore w:val="0"/>
        <w:tabs>
          <w:tab w:val="left" w:pos="411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2．年终结转结余为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万元，主要原因是</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4CDF0F39">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二、收入预算情况说明</w:t>
      </w:r>
    </w:p>
    <w:p w14:paraId="0A4416DB">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包头市林业和草原灾害防控中心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年收入预算合计</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万元，包括本年收入</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万元，上年结转结余</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万元。其中：</w:t>
      </w:r>
    </w:p>
    <w:p w14:paraId="355A428A">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本年一般公共预算收入</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100.00</w:t>
      </w:r>
      <w:r>
        <w:rPr>
          <w:rFonts w:hint="default" w:ascii="Times New Roman" w:hAnsi="Times New Roman" w:eastAsia="仿宋_GB2312" w:cs="Times New Roman"/>
          <w:sz w:val="32"/>
          <w:szCs w:val="32"/>
          <w:u w:val="none"/>
        </w:rPr>
        <w:t>%；</w:t>
      </w:r>
    </w:p>
    <w:p w14:paraId="0FBDABF2">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本年政府性基金预算收入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74D7D9FF">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本年国有资本经营预算收入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69FBC3E9">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本年财政专户管理资金</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1FCA2115">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本年事业收入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64C34B24">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本年事业单位经营收入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51476E4B">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本年上级补助收</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00459F29">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本年附属单位上缴收入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0A5C4895">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本年其他收</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58A05DCE">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上年结转结余的一般公共预算收入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052B3FBA">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上年结转结余的政府性基金预算收入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4BA9BECE">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上年结转结余的国有资本经营预算收入</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634E48B5">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上年结转结余的财政专户管理资</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4A6CACEF">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上年结转结余的单位资金</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p>
    <w:p w14:paraId="6DC29945">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三、支出预算情况说明</w:t>
      </w:r>
    </w:p>
    <w:p w14:paraId="0A5F199E">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包头市林业和草原灾害防控中心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年支出预算合计</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万元，其中：</w:t>
      </w:r>
    </w:p>
    <w:p w14:paraId="4E00D81E">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基本支出</w:t>
      </w:r>
      <w:r>
        <w:rPr>
          <w:rFonts w:hint="eastAsia" w:eastAsia="仿宋_GB2312" w:cs="Times New Roman"/>
          <w:sz w:val="32"/>
          <w:szCs w:val="32"/>
          <w:u w:val="none"/>
          <w:lang w:val="en-US" w:eastAsia="zh-CN"/>
        </w:rPr>
        <w:t>483.05</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98.98</w:t>
      </w:r>
      <w:r>
        <w:rPr>
          <w:rFonts w:hint="default" w:ascii="Times New Roman" w:hAnsi="Times New Roman" w:eastAsia="仿宋_GB2312" w:cs="Times New Roman"/>
          <w:sz w:val="32"/>
          <w:szCs w:val="32"/>
          <w:u w:val="none"/>
        </w:rPr>
        <w:t>%；</w:t>
      </w:r>
    </w:p>
    <w:p w14:paraId="3BEC492A">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项目支出</w:t>
      </w:r>
      <w:r>
        <w:rPr>
          <w:rFonts w:hint="eastAsia" w:eastAsia="仿宋_GB2312" w:cs="Times New Roman"/>
          <w:sz w:val="32"/>
          <w:szCs w:val="32"/>
          <w:u w:val="none"/>
          <w:lang w:val="en-US" w:eastAsia="zh-CN"/>
        </w:rPr>
        <w:t>5.00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1.02</w:t>
      </w:r>
      <w:r>
        <w:rPr>
          <w:rFonts w:hint="default" w:ascii="Times New Roman" w:hAnsi="Times New Roman" w:eastAsia="仿宋_GB2312" w:cs="Times New Roman"/>
          <w:sz w:val="32"/>
          <w:szCs w:val="32"/>
          <w:u w:val="none"/>
        </w:rPr>
        <w:t>%；</w:t>
      </w:r>
    </w:p>
    <w:p w14:paraId="06205F95">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val="none"/>
        </w:rPr>
      </w:pPr>
      <w:r>
        <w:rPr>
          <w:rFonts w:hint="default" w:ascii="Times New Roman" w:hAnsi="Times New Roman" w:eastAsia="仿宋_GB2312" w:cs="Times New Roman"/>
          <w:sz w:val="32"/>
          <w:szCs w:val="32"/>
          <w:u w:val="none"/>
        </w:rPr>
        <w:t>事业单位经营支出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7E4970F4">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上缴上级支出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72822C44">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对附属单位补助支出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w:t>
      </w:r>
    </w:p>
    <w:p w14:paraId="6D436D92">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四、财政拨款收支预算总体情况说明</w:t>
      </w:r>
    </w:p>
    <w:p w14:paraId="1A872D7A">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val="none"/>
        </w:rPr>
      </w:pPr>
      <w:r>
        <w:rPr>
          <w:rFonts w:hint="eastAsia" w:eastAsia="仿宋_GB2312" w:cs="Times New Roman"/>
          <w:sz w:val="32"/>
          <w:szCs w:val="32"/>
          <w:u w:val="none"/>
          <w:lang w:eastAsia="zh-CN"/>
        </w:rPr>
        <w:t>包头市林业和草原灾害防控中心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年度财政拨款收、支总预算</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万元。与上年相比，财政拨款收、支总计各增加</w:t>
      </w:r>
      <w:r>
        <w:rPr>
          <w:rFonts w:hint="eastAsia" w:eastAsia="仿宋_GB2312" w:cs="Times New Roman"/>
          <w:sz w:val="32"/>
          <w:szCs w:val="32"/>
          <w:u w:val="none"/>
          <w:lang w:val="en-US" w:eastAsia="zh-CN"/>
        </w:rPr>
        <w:t>74.33</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17.97</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：一是本年在职人员增加两人，人员经费及公用经费收入支出增加；二是人员工资机构调整，社保缴费基数调整，住房公积金缴存基数调整，收入支出增加；三是新增退休人员地方补贴项目，收入支出增加</w:t>
      </w:r>
      <w:r>
        <w:rPr>
          <w:rFonts w:hint="default" w:ascii="Times New Roman" w:hAnsi="Times New Roman" w:eastAsia="仿宋_GB2312" w:cs="Times New Roman"/>
          <w:sz w:val="32"/>
          <w:szCs w:val="32"/>
          <w:u w:val="none"/>
        </w:rPr>
        <w:t>。</w:t>
      </w:r>
    </w:p>
    <w:p w14:paraId="232145C9">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五、一般公共预算支出预算情况说明</w:t>
      </w:r>
    </w:p>
    <w:p w14:paraId="0541C316">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包头市林业和草原灾害防控中心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年一般公共预算财政拨款支出预算</w:t>
      </w:r>
      <w:r>
        <w:rPr>
          <w:rFonts w:hint="eastAsia" w:eastAsia="仿宋_GB2312" w:cs="Times New Roman"/>
          <w:sz w:val="32"/>
          <w:szCs w:val="32"/>
          <w:u w:val="none"/>
          <w:lang w:val="en-US" w:eastAsia="zh-CN"/>
        </w:rPr>
        <w:t>488.05</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74.33</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17.97</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：一是本年在职人员增加两人，人员经费及公用经费支出增加；二是人员工资机构调整，社保缴费基数调整，住房公积金缴存基数调整，支出增加；三是新增退休人员地方补贴项目，支出增加</w:t>
      </w:r>
      <w:r>
        <w:rPr>
          <w:rFonts w:hint="default" w:ascii="Times New Roman" w:hAnsi="Times New Roman" w:eastAsia="仿宋_GB2312" w:cs="Times New Roman"/>
          <w:sz w:val="32"/>
          <w:szCs w:val="32"/>
          <w:u w:val="none"/>
        </w:rPr>
        <w:t>。</w:t>
      </w:r>
    </w:p>
    <w:p w14:paraId="1A730495">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（一）社会保障和就业</w:t>
      </w:r>
      <w:r>
        <w:rPr>
          <w:rFonts w:hint="eastAsia" w:ascii="楷体" w:hAnsi="楷体" w:eastAsia="楷体" w:cs="楷体"/>
          <w:b/>
          <w:bCs/>
          <w:sz w:val="32"/>
          <w:szCs w:val="32"/>
          <w:u w:val="none"/>
          <w:lang w:eastAsia="zh-CN"/>
        </w:rPr>
        <w:t>支出</w:t>
      </w:r>
      <w:r>
        <w:rPr>
          <w:rFonts w:hint="eastAsia" w:ascii="楷体" w:hAnsi="楷体" w:eastAsia="楷体" w:cs="楷体"/>
          <w:b/>
          <w:bCs/>
          <w:sz w:val="32"/>
          <w:szCs w:val="32"/>
          <w:u w:val="none"/>
        </w:rPr>
        <w:t>（类）</w:t>
      </w:r>
    </w:p>
    <w:p w14:paraId="4046724A">
      <w:pPr>
        <w:spacing w:before="202" w:line="357" w:lineRule="auto"/>
        <w:ind w:left="2" w:right="92" w:firstLine="676"/>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社会保障和就业支出（类）年初预算数为</w:t>
      </w:r>
      <w:r>
        <w:rPr>
          <w:rFonts w:hint="eastAsia" w:ascii="Times New Roman" w:hAnsi="Times New Roman" w:eastAsia="仿宋_GB2312" w:cs="Times New Roman"/>
          <w:kern w:val="2"/>
          <w:sz w:val="32"/>
          <w:szCs w:val="32"/>
          <w:u w:val="none"/>
          <w:lang w:val="en-US" w:eastAsia="zh-CN" w:bidi="ar-SA"/>
        </w:rPr>
        <w:t>59.97</w:t>
      </w:r>
      <w:r>
        <w:rPr>
          <w:rFonts w:hint="default" w:ascii="Times New Roman" w:hAnsi="Times New Roman" w:eastAsia="仿宋_GB2312" w:cs="Times New Roman"/>
          <w:kern w:val="2"/>
          <w:sz w:val="32"/>
          <w:szCs w:val="32"/>
          <w:u w:val="none"/>
          <w:lang w:val="en-US" w:eastAsia="zh-CN" w:bidi="ar-SA"/>
        </w:rPr>
        <w:t>万元 ，与上年相比增加</w:t>
      </w:r>
      <w:r>
        <w:rPr>
          <w:rFonts w:hint="eastAsia" w:ascii="Times New Roman" w:hAnsi="Times New Roman" w:eastAsia="仿宋_GB2312" w:cs="Times New Roman"/>
          <w:kern w:val="2"/>
          <w:sz w:val="32"/>
          <w:szCs w:val="32"/>
          <w:u w:val="none"/>
          <w:lang w:val="en-US" w:eastAsia="zh-CN" w:bidi="ar-SA"/>
        </w:rPr>
        <w:t>13.18</w:t>
      </w:r>
      <w:r>
        <w:rPr>
          <w:rFonts w:hint="default" w:ascii="Times New Roman" w:hAnsi="Times New Roman" w:eastAsia="仿宋_GB2312" w:cs="Times New Roman"/>
          <w:kern w:val="2"/>
          <w:sz w:val="32"/>
          <w:szCs w:val="32"/>
          <w:u w:val="none"/>
          <w:lang w:val="en-US" w:eastAsia="zh-CN" w:bidi="ar-SA"/>
        </w:rPr>
        <w:t>万元。其中：</w:t>
      </w:r>
    </w:p>
    <w:p w14:paraId="42899E3E">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1.行政事业单位养老支出（款）事业单位离退休（项）。年初预算</w:t>
      </w:r>
      <w:r>
        <w:rPr>
          <w:rFonts w:hint="eastAsia" w:eastAsia="仿宋_GB2312" w:cs="Times New Roman"/>
          <w:sz w:val="32"/>
          <w:szCs w:val="32"/>
          <w:u w:val="none"/>
          <w:lang w:val="en-US" w:eastAsia="zh-CN"/>
        </w:rPr>
        <w:t>17.38</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6.48</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59.45</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新增退休人员地方补贴项目，支出增加</w:t>
      </w:r>
      <w:r>
        <w:rPr>
          <w:rFonts w:hint="default" w:ascii="Times New Roman" w:hAnsi="Times New Roman" w:eastAsia="仿宋_GB2312" w:cs="Times New Roman"/>
          <w:sz w:val="32"/>
          <w:szCs w:val="32"/>
          <w:u w:val="none"/>
        </w:rPr>
        <w:t>。</w:t>
      </w:r>
    </w:p>
    <w:p w14:paraId="7482D92D">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2.行政事业单位养老支出（款）机关事业单位基本养老保险缴费支出（项）。年初预算</w:t>
      </w:r>
      <w:r>
        <w:rPr>
          <w:rFonts w:hint="eastAsia" w:eastAsia="仿宋_GB2312" w:cs="Times New Roman"/>
          <w:sz w:val="32"/>
          <w:szCs w:val="32"/>
          <w:u w:val="none"/>
          <w:lang w:val="en-US" w:eastAsia="zh-CN"/>
        </w:rPr>
        <w:t>42.59</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6.70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18.67</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一是本年在职人员增加两人，养老保险缴费支出增加；二是人员社保缴费基数调整，支出增加。</w:t>
      </w:r>
    </w:p>
    <w:p w14:paraId="60D181B1">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（二）卫生健康支出（类）</w:t>
      </w:r>
    </w:p>
    <w:p w14:paraId="57BC4CEE">
      <w:pPr>
        <w:spacing w:before="202" w:line="357" w:lineRule="auto"/>
        <w:ind w:left="2" w:right="92" w:firstLine="676"/>
        <w:rPr>
          <w:rFonts w:hint="default" w:ascii="Times New Roman" w:hAnsi="Times New Roman" w:eastAsia="仿宋_GB2312" w:cs="Times New Roman"/>
          <w:sz w:val="32"/>
          <w:szCs w:val="32"/>
          <w:u w:val="none"/>
        </w:rPr>
      </w:pPr>
      <w:r>
        <w:rPr>
          <w:rFonts w:hint="eastAsia" w:ascii="Times New Roman" w:hAnsi="Times New Roman" w:eastAsia="仿宋_GB2312" w:cs="Times New Roman"/>
          <w:kern w:val="2"/>
          <w:sz w:val="32"/>
          <w:szCs w:val="32"/>
          <w:u w:val="none"/>
          <w:lang w:val="en-US" w:eastAsia="zh-CN" w:bidi="ar-SA"/>
        </w:rPr>
        <w:t>卫生健康</w:t>
      </w:r>
      <w:r>
        <w:rPr>
          <w:rFonts w:hint="default" w:ascii="Times New Roman" w:hAnsi="Times New Roman" w:eastAsia="仿宋_GB2312" w:cs="Times New Roman"/>
          <w:kern w:val="2"/>
          <w:sz w:val="32"/>
          <w:szCs w:val="32"/>
          <w:u w:val="none"/>
          <w:lang w:val="en-US" w:eastAsia="zh-CN" w:bidi="ar-SA"/>
        </w:rPr>
        <w:t>支出（类）年初预算数为</w:t>
      </w:r>
      <w:r>
        <w:rPr>
          <w:rFonts w:hint="eastAsia" w:ascii="Times New Roman" w:hAnsi="Times New Roman" w:eastAsia="仿宋_GB2312" w:cs="Times New Roman"/>
          <w:kern w:val="2"/>
          <w:sz w:val="32"/>
          <w:szCs w:val="32"/>
          <w:u w:val="none"/>
          <w:lang w:val="en-US" w:eastAsia="zh-CN" w:bidi="ar-SA"/>
        </w:rPr>
        <w:t>17.36</w:t>
      </w:r>
      <w:r>
        <w:rPr>
          <w:rFonts w:hint="default" w:ascii="Times New Roman" w:hAnsi="Times New Roman" w:eastAsia="仿宋_GB2312" w:cs="Times New Roman"/>
          <w:kern w:val="2"/>
          <w:sz w:val="32"/>
          <w:szCs w:val="32"/>
          <w:u w:val="none"/>
          <w:lang w:val="en-US" w:eastAsia="zh-CN" w:bidi="ar-SA"/>
        </w:rPr>
        <w:t>万元 ，与上年相比增加</w:t>
      </w:r>
      <w:r>
        <w:rPr>
          <w:rFonts w:hint="eastAsia" w:ascii="Times New Roman" w:hAnsi="Times New Roman" w:eastAsia="仿宋_GB2312" w:cs="Times New Roman"/>
          <w:kern w:val="2"/>
          <w:sz w:val="32"/>
          <w:szCs w:val="32"/>
          <w:u w:val="none"/>
          <w:lang w:val="en-US" w:eastAsia="zh-CN" w:bidi="ar-SA"/>
        </w:rPr>
        <w:t>2.73</w:t>
      </w:r>
      <w:r>
        <w:rPr>
          <w:rFonts w:hint="default" w:ascii="Times New Roman" w:hAnsi="Times New Roman" w:eastAsia="仿宋_GB2312" w:cs="Times New Roman"/>
          <w:kern w:val="2"/>
          <w:sz w:val="32"/>
          <w:szCs w:val="32"/>
          <w:u w:val="none"/>
          <w:lang w:val="en-US" w:eastAsia="zh-CN" w:bidi="ar-SA"/>
        </w:rPr>
        <w:t>万元。其中：</w:t>
      </w:r>
    </w:p>
    <w:p w14:paraId="4D11DFF5">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1．行政事业单位医疗（款）事业单位医疗（项）。年初预算</w:t>
      </w:r>
      <w:r>
        <w:rPr>
          <w:rFonts w:hint="eastAsia" w:eastAsia="仿宋_GB2312" w:cs="Times New Roman"/>
          <w:sz w:val="32"/>
          <w:szCs w:val="32"/>
          <w:u w:val="none"/>
          <w:lang w:val="en-US" w:eastAsia="zh-CN"/>
        </w:rPr>
        <w:t>17.36</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2.73</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18.66</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一是本年在职人员增加两人，医疗保险缴费支出增加；二是人员社保缴费基数调整，支出增加</w:t>
      </w:r>
      <w:r>
        <w:rPr>
          <w:rFonts w:hint="default" w:ascii="Times New Roman" w:hAnsi="Times New Roman" w:eastAsia="仿宋_GB2312" w:cs="Times New Roman"/>
          <w:sz w:val="32"/>
          <w:szCs w:val="32"/>
          <w:u w:val="none"/>
        </w:rPr>
        <w:t>。</w:t>
      </w:r>
    </w:p>
    <w:p w14:paraId="5E3E6928">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w:t>
      </w:r>
      <w:r>
        <w:rPr>
          <w:rFonts w:hint="eastAsia" w:ascii="楷体" w:hAnsi="楷体" w:eastAsia="楷体" w:cs="楷体"/>
          <w:b/>
          <w:bCs/>
          <w:sz w:val="32"/>
          <w:szCs w:val="32"/>
          <w:u w:val="none"/>
          <w:lang w:eastAsia="zh-CN"/>
        </w:rPr>
        <w:t>三</w:t>
      </w:r>
      <w:r>
        <w:rPr>
          <w:rFonts w:hint="eastAsia" w:ascii="楷体" w:hAnsi="楷体" w:eastAsia="楷体" w:cs="楷体"/>
          <w:b/>
          <w:bCs/>
          <w:sz w:val="32"/>
          <w:szCs w:val="32"/>
          <w:u w:val="none"/>
        </w:rPr>
        <w:t>）农林水支出（类）</w:t>
      </w:r>
    </w:p>
    <w:p w14:paraId="0DE4842C">
      <w:pPr>
        <w:spacing w:before="202" w:line="357" w:lineRule="auto"/>
        <w:ind w:left="2" w:right="92" w:firstLine="676"/>
        <w:rPr>
          <w:rFonts w:hint="default" w:ascii="Times New Roman" w:hAnsi="Times New Roman" w:eastAsia="仿宋_GB2312" w:cs="Times New Roman"/>
          <w:sz w:val="32"/>
          <w:szCs w:val="32"/>
          <w:u w:val="none"/>
        </w:rPr>
      </w:pPr>
      <w:r>
        <w:rPr>
          <w:rFonts w:hint="eastAsia" w:ascii="Times New Roman" w:hAnsi="Times New Roman" w:eastAsia="仿宋_GB2312" w:cs="Times New Roman"/>
          <w:kern w:val="2"/>
          <w:sz w:val="32"/>
          <w:szCs w:val="32"/>
          <w:u w:val="none"/>
          <w:lang w:val="en-US" w:eastAsia="zh-CN" w:bidi="ar-SA"/>
        </w:rPr>
        <w:t>农林水</w:t>
      </w:r>
      <w:r>
        <w:rPr>
          <w:rFonts w:hint="default" w:ascii="Times New Roman" w:hAnsi="Times New Roman" w:eastAsia="仿宋_GB2312" w:cs="Times New Roman"/>
          <w:kern w:val="2"/>
          <w:sz w:val="32"/>
          <w:szCs w:val="32"/>
          <w:u w:val="none"/>
          <w:lang w:val="en-US" w:eastAsia="zh-CN" w:bidi="ar-SA"/>
        </w:rPr>
        <w:t>支出（类）年初预算数为</w:t>
      </w:r>
      <w:r>
        <w:rPr>
          <w:rFonts w:hint="eastAsia" w:ascii="Times New Roman" w:hAnsi="Times New Roman" w:eastAsia="仿宋_GB2312" w:cs="Times New Roman"/>
          <w:kern w:val="2"/>
          <w:sz w:val="32"/>
          <w:szCs w:val="32"/>
          <w:u w:val="none"/>
          <w:lang w:val="en-US" w:eastAsia="zh-CN" w:bidi="ar-SA"/>
        </w:rPr>
        <w:t>377.64</w:t>
      </w:r>
      <w:r>
        <w:rPr>
          <w:rFonts w:hint="default" w:ascii="Times New Roman" w:hAnsi="Times New Roman" w:eastAsia="仿宋_GB2312" w:cs="Times New Roman"/>
          <w:kern w:val="2"/>
          <w:sz w:val="32"/>
          <w:szCs w:val="32"/>
          <w:u w:val="none"/>
          <w:lang w:val="en-US" w:eastAsia="zh-CN" w:bidi="ar-SA"/>
        </w:rPr>
        <w:t>万元 ，与上年相比增加</w:t>
      </w:r>
      <w:r>
        <w:rPr>
          <w:rFonts w:hint="eastAsia" w:ascii="Times New Roman" w:hAnsi="Times New Roman" w:eastAsia="仿宋_GB2312" w:cs="Times New Roman"/>
          <w:kern w:val="2"/>
          <w:sz w:val="32"/>
          <w:szCs w:val="32"/>
          <w:u w:val="none"/>
          <w:lang w:val="en-US" w:eastAsia="zh-CN" w:bidi="ar-SA"/>
        </w:rPr>
        <w:t>53.31</w:t>
      </w:r>
      <w:r>
        <w:rPr>
          <w:rFonts w:hint="default" w:ascii="Times New Roman" w:hAnsi="Times New Roman" w:eastAsia="仿宋_GB2312" w:cs="Times New Roman"/>
          <w:kern w:val="2"/>
          <w:sz w:val="32"/>
          <w:szCs w:val="32"/>
          <w:u w:val="none"/>
          <w:lang w:val="en-US" w:eastAsia="zh-CN" w:bidi="ar-SA"/>
        </w:rPr>
        <w:t>万元。其中：</w:t>
      </w:r>
    </w:p>
    <w:p w14:paraId="1FA43071">
      <w:pPr>
        <w:pStyle w:val="8"/>
        <w:pageBreakBefore w:val="0"/>
        <w:numPr>
          <w:ilvl w:val="0"/>
          <w:numId w:val="3"/>
        </w:numPr>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林业和草原（款）事业机构（项）。年初预算</w:t>
      </w:r>
      <w:r>
        <w:rPr>
          <w:rFonts w:hint="eastAsia" w:eastAsia="仿宋_GB2312" w:cs="Times New Roman"/>
          <w:sz w:val="32"/>
          <w:szCs w:val="32"/>
          <w:u w:val="none"/>
          <w:lang w:val="en-US" w:eastAsia="zh-CN"/>
        </w:rPr>
        <w:t>372.64</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53.31</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16.44</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一是本年在职人员增加两人，人员经费及公用经费支出增加；二是人员工资机构调整，社保缴费基数调整，支出增加</w:t>
      </w:r>
      <w:r>
        <w:rPr>
          <w:rFonts w:hint="default" w:ascii="Times New Roman" w:hAnsi="Times New Roman" w:eastAsia="仿宋_GB2312" w:cs="Times New Roman"/>
          <w:sz w:val="32"/>
          <w:szCs w:val="32"/>
          <w:u w:val="none"/>
        </w:rPr>
        <w:t>。</w:t>
      </w:r>
    </w:p>
    <w:p w14:paraId="51079537">
      <w:pPr>
        <w:pStyle w:val="8"/>
        <w:pageBreakBefore w:val="0"/>
        <w:numPr>
          <w:ilvl w:val="0"/>
          <w:numId w:val="3"/>
        </w:numPr>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林业和草原（款）林业草原防灾减灾（项）。年初预算</w:t>
      </w:r>
      <w:r>
        <w:rPr>
          <w:rFonts w:hint="eastAsia" w:eastAsia="仿宋_GB2312" w:cs="Times New Roman"/>
          <w:sz w:val="32"/>
          <w:szCs w:val="32"/>
          <w:u w:val="none"/>
          <w:lang w:val="en-US" w:eastAsia="zh-CN"/>
        </w:rPr>
        <w:t>5.00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我单位本年度</w:t>
      </w:r>
      <w:r>
        <w:rPr>
          <w:rFonts w:hint="eastAsia" w:ascii="Times New Roman" w:hAnsi="Times New Roman" w:eastAsia="仿宋_GB2312" w:cs="Times New Roman"/>
          <w:sz w:val="32"/>
          <w:szCs w:val="32"/>
          <w:u w:val="none"/>
          <w:lang w:eastAsia="zh-CN"/>
        </w:rPr>
        <w:t>该类款项支出金额与上年预算</w:t>
      </w:r>
      <w:r>
        <w:rPr>
          <w:rFonts w:hint="eastAsia" w:eastAsia="仿宋_GB2312" w:cs="Times New Roman"/>
          <w:sz w:val="32"/>
          <w:szCs w:val="32"/>
          <w:u w:val="none"/>
          <w:lang w:eastAsia="zh-CN"/>
        </w:rPr>
        <w:t>。</w:t>
      </w:r>
    </w:p>
    <w:p w14:paraId="3DBFB6B4">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w:t>
      </w:r>
      <w:r>
        <w:rPr>
          <w:rFonts w:hint="eastAsia" w:ascii="楷体" w:hAnsi="楷体" w:eastAsia="楷体" w:cs="楷体"/>
          <w:b/>
          <w:bCs/>
          <w:sz w:val="32"/>
          <w:szCs w:val="32"/>
          <w:u w:val="none"/>
          <w:lang w:eastAsia="zh-CN"/>
        </w:rPr>
        <w:t>四</w:t>
      </w:r>
      <w:r>
        <w:rPr>
          <w:rFonts w:hint="eastAsia" w:ascii="楷体" w:hAnsi="楷体" w:eastAsia="楷体" w:cs="楷体"/>
          <w:b/>
          <w:bCs/>
          <w:sz w:val="32"/>
          <w:szCs w:val="32"/>
          <w:u w:val="none"/>
        </w:rPr>
        <w:t>）住房保障支出（类）</w:t>
      </w:r>
    </w:p>
    <w:p w14:paraId="51963E61">
      <w:pPr>
        <w:spacing w:before="202" w:line="357" w:lineRule="auto"/>
        <w:ind w:left="2" w:right="92" w:firstLine="676"/>
        <w:rPr>
          <w:rFonts w:hint="default" w:ascii="Times New Roman" w:hAnsi="Times New Roman" w:eastAsia="仿宋_GB2312" w:cs="Times New Roman"/>
          <w:sz w:val="32"/>
          <w:szCs w:val="32"/>
          <w:u w:val="none"/>
        </w:rPr>
      </w:pPr>
      <w:r>
        <w:rPr>
          <w:rFonts w:hint="eastAsia" w:ascii="Times New Roman" w:hAnsi="Times New Roman" w:eastAsia="仿宋_GB2312" w:cs="Times New Roman"/>
          <w:kern w:val="2"/>
          <w:sz w:val="32"/>
          <w:szCs w:val="32"/>
          <w:u w:val="none"/>
          <w:lang w:val="en-US" w:eastAsia="zh-CN" w:bidi="ar-SA"/>
        </w:rPr>
        <w:t>住房保障</w:t>
      </w:r>
      <w:r>
        <w:rPr>
          <w:rFonts w:hint="default" w:ascii="Times New Roman" w:hAnsi="Times New Roman" w:eastAsia="仿宋_GB2312" w:cs="Times New Roman"/>
          <w:kern w:val="2"/>
          <w:sz w:val="32"/>
          <w:szCs w:val="32"/>
          <w:u w:val="none"/>
          <w:lang w:val="en-US" w:eastAsia="zh-CN" w:bidi="ar-SA"/>
        </w:rPr>
        <w:t>支出（类）年初预算数为</w:t>
      </w:r>
      <w:r>
        <w:rPr>
          <w:rFonts w:hint="eastAsia" w:ascii="Times New Roman" w:hAnsi="Times New Roman" w:eastAsia="仿宋_GB2312" w:cs="Times New Roman"/>
          <w:kern w:val="2"/>
          <w:sz w:val="32"/>
          <w:szCs w:val="32"/>
          <w:u w:val="none"/>
          <w:lang w:val="en-US" w:eastAsia="zh-CN" w:bidi="ar-SA"/>
        </w:rPr>
        <w:t>33.08</w:t>
      </w:r>
      <w:r>
        <w:rPr>
          <w:rFonts w:hint="default" w:ascii="Times New Roman" w:hAnsi="Times New Roman" w:eastAsia="仿宋_GB2312" w:cs="Times New Roman"/>
          <w:kern w:val="2"/>
          <w:sz w:val="32"/>
          <w:szCs w:val="32"/>
          <w:u w:val="none"/>
          <w:lang w:val="en-US" w:eastAsia="zh-CN" w:bidi="ar-SA"/>
        </w:rPr>
        <w:t>万元 ，与上年相比增加</w:t>
      </w:r>
      <w:r>
        <w:rPr>
          <w:rFonts w:hint="eastAsia" w:ascii="Times New Roman" w:hAnsi="Times New Roman" w:eastAsia="仿宋_GB2312" w:cs="Times New Roman"/>
          <w:kern w:val="2"/>
          <w:sz w:val="32"/>
          <w:szCs w:val="32"/>
          <w:u w:val="none"/>
          <w:lang w:val="en-US" w:eastAsia="zh-CN" w:bidi="ar-SA"/>
        </w:rPr>
        <w:t>5.11</w:t>
      </w:r>
      <w:r>
        <w:rPr>
          <w:rFonts w:hint="default" w:ascii="Times New Roman" w:hAnsi="Times New Roman" w:eastAsia="仿宋_GB2312" w:cs="Times New Roman"/>
          <w:kern w:val="2"/>
          <w:sz w:val="32"/>
          <w:szCs w:val="32"/>
          <w:u w:val="none"/>
          <w:lang w:val="en-US" w:eastAsia="zh-CN" w:bidi="ar-SA"/>
        </w:rPr>
        <w:t>万元。其中：</w:t>
      </w:r>
    </w:p>
    <w:p w14:paraId="038F3D22">
      <w:pPr>
        <w:pStyle w:val="8"/>
        <w:pageBreakBefore w:val="0"/>
        <w:kinsoku/>
        <w:wordWrap/>
        <w:overflowPunct/>
        <w:topLinePunct w:val="0"/>
        <w:bidi w:val="0"/>
        <w:spacing w:after="0" w:line="600" w:lineRule="exact"/>
        <w:ind w:firstLine="640" w:firstLineChars="200"/>
        <w:rPr>
          <w:rFonts w:hint="eastAsia" w:ascii="仿宋" w:hAnsi="仿宋" w:eastAsia="仿宋" w:cs="仿宋"/>
          <w:sz w:val="32"/>
          <w:szCs w:val="32"/>
          <w:highlight w:val="yellow"/>
          <w:u w:val="none"/>
        </w:rPr>
      </w:pPr>
      <w:r>
        <w:rPr>
          <w:rFonts w:hint="default" w:ascii="Times New Roman" w:hAnsi="Times New Roman" w:eastAsia="仿宋_GB2312" w:cs="Times New Roman"/>
          <w:sz w:val="32"/>
          <w:szCs w:val="32"/>
          <w:u w:val="none"/>
        </w:rPr>
        <w:t>1．住房改革支出（款）住房公积金（项）。年初预算</w:t>
      </w:r>
      <w:r>
        <w:rPr>
          <w:rFonts w:hint="eastAsia" w:eastAsia="仿宋_GB2312" w:cs="Times New Roman"/>
          <w:sz w:val="32"/>
          <w:szCs w:val="32"/>
          <w:u w:val="none"/>
          <w:lang w:val="en-US" w:eastAsia="zh-CN"/>
        </w:rPr>
        <w:t>33.08</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5.11</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18.27</w:t>
      </w:r>
      <w:r>
        <w:rPr>
          <w:rFonts w:hint="default" w:ascii="Times New Roman" w:hAnsi="Times New Roman" w:eastAsia="仿宋_GB2312" w:cs="Times New Roman"/>
          <w:sz w:val="32"/>
          <w:szCs w:val="32"/>
          <w:u w:val="none"/>
        </w:rPr>
        <w:t>%。变动原因：</w:t>
      </w:r>
      <w:r>
        <w:rPr>
          <w:rFonts w:hint="eastAsia" w:eastAsia="仿宋_GB2312" w:cs="Times New Roman"/>
          <w:sz w:val="32"/>
          <w:szCs w:val="32"/>
          <w:u w:val="none"/>
          <w:lang w:eastAsia="zh-CN"/>
        </w:rPr>
        <w:t>一是本年在职人员增加两人，住房公积金汇缴支出增加；二是住房公积金缴存基数调整，支出增加</w:t>
      </w:r>
      <w:r>
        <w:rPr>
          <w:rFonts w:hint="default" w:ascii="Times New Roman" w:hAnsi="Times New Roman" w:eastAsia="仿宋_GB2312" w:cs="Times New Roman"/>
          <w:sz w:val="32"/>
          <w:szCs w:val="32"/>
          <w:u w:val="none"/>
        </w:rPr>
        <w:t>。</w:t>
      </w:r>
    </w:p>
    <w:p w14:paraId="5DFD432A">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六、一般公共预算基本支出预算情况说明</w:t>
      </w:r>
    </w:p>
    <w:p w14:paraId="742B7E4F">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包头市林业和草原灾害防控中心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年度一般公共预算财政拨款基本支出预算</w:t>
      </w:r>
      <w:r>
        <w:rPr>
          <w:rFonts w:hint="eastAsia" w:eastAsia="仿宋_GB2312" w:cs="Times New Roman"/>
          <w:sz w:val="32"/>
          <w:szCs w:val="32"/>
          <w:u w:val="none"/>
          <w:lang w:val="en-US" w:eastAsia="zh-CN"/>
        </w:rPr>
        <w:t>483.05</w:t>
      </w:r>
      <w:r>
        <w:rPr>
          <w:rFonts w:hint="default" w:ascii="Times New Roman" w:hAnsi="Times New Roman" w:eastAsia="仿宋_GB2312" w:cs="Times New Roman"/>
          <w:sz w:val="32"/>
          <w:szCs w:val="32"/>
          <w:u w:val="none"/>
        </w:rPr>
        <w:t>万元，其中：</w:t>
      </w:r>
    </w:p>
    <w:p w14:paraId="5F8BA1F5">
      <w:pPr>
        <w:pStyle w:val="8"/>
        <w:pageBreakBefore w:val="0"/>
        <w:tabs>
          <w:tab w:val="left" w:pos="2671"/>
          <w:tab w:val="left" w:pos="5000"/>
          <w:tab w:val="left" w:pos="6190"/>
        </w:tabs>
        <w:kinsoku/>
        <w:wordWrap/>
        <w:overflowPunct/>
        <w:topLinePunct w:val="0"/>
        <w:bidi w:val="0"/>
        <w:spacing w:after="0" w:line="600" w:lineRule="exact"/>
        <w:ind w:firstLine="643"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rPr>
        <w:t>（一）人员经费</w:t>
      </w:r>
      <w:r>
        <w:rPr>
          <w:rFonts w:hint="eastAsia" w:eastAsia="仿宋_GB2312" w:cs="Times New Roman"/>
          <w:b/>
          <w:bCs/>
          <w:sz w:val="32"/>
          <w:szCs w:val="32"/>
          <w:u w:val="none"/>
          <w:lang w:val="en-US" w:eastAsia="zh-CN"/>
        </w:rPr>
        <w:t>452.94</w:t>
      </w:r>
      <w:r>
        <w:rPr>
          <w:rFonts w:hint="default" w:ascii="Times New Roman" w:hAnsi="Times New Roman" w:eastAsia="仿宋_GB2312" w:cs="Times New Roman"/>
          <w:b/>
          <w:bCs/>
          <w:sz w:val="32"/>
          <w:szCs w:val="32"/>
          <w:u w:val="none"/>
        </w:rPr>
        <w:t>万元</w:t>
      </w:r>
      <w:r>
        <w:rPr>
          <w:rFonts w:hint="default" w:ascii="Times New Roman" w:hAnsi="Times New Roman" w:eastAsia="仿宋_GB2312" w:cs="Times New Roman"/>
          <w:sz w:val="32"/>
          <w:szCs w:val="32"/>
          <w:u w:val="none"/>
        </w:rPr>
        <w:t>。主要包括：基本工资</w:t>
      </w:r>
      <w:r>
        <w:rPr>
          <w:rFonts w:hint="eastAsia" w:eastAsia="仿宋_GB2312" w:cs="Times New Roman"/>
          <w:sz w:val="32"/>
          <w:szCs w:val="32"/>
          <w:u w:val="none"/>
          <w:lang w:val="en-US" w:eastAsia="zh-CN"/>
        </w:rPr>
        <w:t>141.46万元</w:t>
      </w:r>
      <w:r>
        <w:rPr>
          <w:rFonts w:hint="default" w:ascii="Times New Roman" w:hAnsi="Times New Roman" w:eastAsia="仿宋_GB2312" w:cs="Times New Roman"/>
          <w:sz w:val="32"/>
          <w:szCs w:val="32"/>
          <w:u w:val="none"/>
        </w:rPr>
        <w:t>、津贴补贴</w:t>
      </w:r>
      <w:r>
        <w:rPr>
          <w:rFonts w:hint="eastAsia" w:eastAsia="仿宋_GB2312" w:cs="Times New Roman"/>
          <w:sz w:val="32"/>
          <w:szCs w:val="32"/>
          <w:u w:val="none"/>
          <w:lang w:val="en-US" w:eastAsia="zh-CN"/>
        </w:rPr>
        <w:t>33.27万元</w:t>
      </w:r>
      <w:r>
        <w:rPr>
          <w:rFonts w:hint="default" w:ascii="Times New Roman" w:hAnsi="Times New Roman" w:eastAsia="仿宋_GB2312" w:cs="Times New Roman"/>
          <w:sz w:val="32"/>
          <w:szCs w:val="32"/>
          <w:u w:val="none"/>
        </w:rPr>
        <w:t>、奖金</w:t>
      </w:r>
      <w:r>
        <w:rPr>
          <w:rFonts w:hint="eastAsia" w:eastAsia="仿宋_GB2312" w:cs="Times New Roman"/>
          <w:sz w:val="32"/>
          <w:szCs w:val="32"/>
          <w:u w:val="none"/>
          <w:lang w:val="en-US" w:eastAsia="zh-CN"/>
        </w:rPr>
        <w:t>60.74万元</w:t>
      </w:r>
      <w:r>
        <w:rPr>
          <w:rFonts w:hint="default" w:ascii="Times New Roman" w:hAnsi="Times New Roman" w:eastAsia="仿宋_GB2312" w:cs="Times New Roman"/>
          <w:sz w:val="32"/>
          <w:szCs w:val="32"/>
          <w:u w:val="none"/>
        </w:rPr>
        <w:t>、绩效工资</w:t>
      </w:r>
      <w:r>
        <w:rPr>
          <w:rFonts w:hint="eastAsia" w:eastAsia="仿宋_GB2312" w:cs="Times New Roman"/>
          <w:sz w:val="32"/>
          <w:szCs w:val="32"/>
          <w:u w:val="none"/>
          <w:lang w:val="en-US" w:eastAsia="zh-CN"/>
        </w:rPr>
        <w:t>105.19万元</w:t>
      </w:r>
      <w:r>
        <w:rPr>
          <w:rFonts w:hint="default" w:ascii="Times New Roman" w:hAnsi="Times New Roman" w:eastAsia="仿宋_GB2312" w:cs="Times New Roman"/>
          <w:sz w:val="32"/>
          <w:szCs w:val="32"/>
          <w:u w:val="none"/>
        </w:rPr>
        <w:t>、机关事业单位基本养老保险缴费</w:t>
      </w:r>
      <w:r>
        <w:rPr>
          <w:rFonts w:hint="eastAsia" w:eastAsia="仿宋_GB2312" w:cs="Times New Roman"/>
          <w:sz w:val="32"/>
          <w:szCs w:val="32"/>
          <w:u w:val="none"/>
          <w:lang w:val="en-US" w:eastAsia="zh-CN"/>
        </w:rPr>
        <w:t>42.59万元、职工基本医疗保险缴费17.36万元、其他社会保障缴费1.86万元、</w:t>
      </w:r>
      <w:r>
        <w:rPr>
          <w:rFonts w:hint="default" w:ascii="Times New Roman" w:hAnsi="Times New Roman" w:eastAsia="仿宋_GB2312" w:cs="Times New Roman"/>
          <w:sz w:val="32"/>
          <w:szCs w:val="32"/>
          <w:u w:val="none"/>
        </w:rPr>
        <w:t>住房公积金</w:t>
      </w:r>
      <w:r>
        <w:rPr>
          <w:rFonts w:hint="eastAsia" w:eastAsia="仿宋_GB2312" w:cs="Times New Roman"/>
          <w:sz w:val="32"/>
          <w:szCs w:val="32"/>
          <w:u w:val="none"/>
          <w:lang w:val="en-US" w:eastAsia="zh-CN"/>
        </w:rPr>
        <w:t>33.08万元</w:t>
      </w:r>
      <w:r>
        <w:rPr>
          <w:rFonts w:hint="default" w:ascii="Times New Roman" w:hAnsi="Times New Roman" w:eastAsia="仿宋_GB2312" w:cs="Times New Roman"/>
          <w:sz w:val="32"/>
          <w:szCs w:val="32"/>
          <w:u w:val="none"/>
        </w:rPr>
        <w:t>、退休费</w:t>
      </w:r>
      <w:r>
        <w:rPr>
          <w:rFonts w:hint="eastAsia" w:eastAsia="仿宋_GB2312" w:cs="Times New Roman"/>
          <w:sz w:val="32"/>
          <w:szCs w:val="32"/>
          <w:u w:val="none"/>
          <w:lang w:val="en-US" w:eastAsia="zh-CN"/>
        </w:rPr>
        <w:t>17.38万元</w:t>
      </w:r>
      <w:r>
        <w:rPr>
          <w:rFonts w:hint="default" w:ascii="Times New Roman" w:hAnsi="Times New Roman" w:eastAsia="仿宋_GB2312" w:cs="Times New Roman"/>
          <w:sz w:val="32"/>
          <w:szCs w:val="32"/>
          <w:u w:val="none"/>
        </w:rPr>
        <w:t>。</w:t>
      </w:r>
    </w:p>
    <w:p w14:paraId="126CEDB0">
      <w:pPr>
        <w:pStyle w:val="8"/>
        <w:pageBreakBefore w:val="0"/>
        <w:tabs>
          <w:tab w:val="left" w:pos="2671"/>
          <w:tab w:val="left" w:pos="5000"/>
          <w:tab w:val="left" w:pos="6190"/>
        </w:tabs>
        <w:kinsoku/>
        <w:wordWrap/>
        <w:overflowPunct/>
        <w:topLinePunct w:val="0"/>
        <w:bidi w:val="0"/>
        <w:spacing w:after="0" w:line="600" w:lineRule="exact"/>
        <w:ind w:firstLine="643"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rPr>
        <w:t>（二）公用经费</w:t>
      </w:r>
      <w:r>
        <w:rPr>
          <w:rFonts w:hint="eastAsia" w:eastAsia="仿宋_GB2312" w:cs="Times New Roman"/>
          <w:b/>
          <w:bCs/>
          <w:sz w:val="32"/>
          <w:szCs w:val="32"/>
          <w:u w:val="none"/>
          <w:lang w:val="en-US" w:eastAsia="zh-CN"/>
        </w:rPr>
        <w:t>30.11</w:t>
      </w:r>
      <w:r>
        <w:rPr>
          <w:rFonts w:hint="default" w:ascii="Times New Roman" w:hAnsi="Times New Roman" w:eastAsia="仿宋_GB2312" w:cs="Times New Roman"/>
          <w:b/>
          <w:bCs/>
          <w:sz w:val="32"/>
          <w:szCs w:val="32"/>
          <w:u w:val="none"/>
        </w:rPr>
        <w:t>万元</w:t>
      </w:r>
      <w:r>
        <w:rPr>
          <w:rFonts w:hint="default" w:ascii="Times New Roman" w:hAnsi="Times New Roman" w:eastAsia="仿宋_GB2312" w:cs="Times New Roman"/>
          <w:sz w:val="32"/>
          <w:szCs w:val="32"/>
          <w:u w:val="none"/>
        </w:rPr>
        <w:t>。主要包括：办公费</w:t>
      </w:r>
      <w:r>
        <w:rPr>
          <w:rFonts w:hint="eastAsia" w:eastAsia="仿宋_GB2312" w:cs="Times New Roman"/>
          <w:sz w:val="32"/>
          <w:szCs w:val="32"/>
          <w:u w:val="none"/>
          <w:lang w:val="en-US" w:eastAsia="zh-CN"/>
        </w:rPr>
        <w:t>5.26万元</w:t>
      </w:r>
      <w:r>
        <w:rPr>
          <w:rFonts w:hint="default" w:ascii="Times New Roman" w:hAnsi="Times New Roman" w:eastAsia="仿宋_GB2312" w:cs="Times New Roman"/>
          <w:sz w:val="32"/>
          <w:szCs w:val="32"/>
          <w:u w:val="none"/>
        </w:rPr>
        <w:t>、印刷费</w:t>
      </w:r>
      <w:r>
        <w:rPr>
          <w:rFonts w:hint="eastAsia" w:eastAsia="仿宋_GB2312" w:cs="Times New Roman"/>
          <w:sz w:val="32"/>
          <w:szCs w:val="32"/>
          <w:u w:val="none"/>
          <w:lang w:val="en-US" w:eastAsia="zh-CN"/>
        </w:rPr>
        <w:t>0.20万元</w:t>
      </w:r>
      <w:r>
        <w:rPr>
          <w:rFonts w:hint="default" w:ascii="Times New Roman" w:hAnsi="Times New Roman" w:eastAsia="仿宋_GB2312" w:cs="Times New Roman"/>
          <w:sz w:val="32"/>
          <w:szCs w:val="32"/>
          <w:u w:val="none"/>
        </w:rPr>
        <w:t>、邮电费</w:t>
      </w:r>
      <w:r>
        <w:rPr>
          <w:rFonts w:hint="eastAsia" w:eastAsia="仿宋_GB2312" w:cs="Times New Roman"/>
          <w:sz w:val="32"/>
          <w:szCs w:val="32"/>
          <w:u w:val="none"/>
          <w:lang w:val="en-US" w:eastAsia="zh-CN"/>
        </w:rPr>
        <w:t>2.00万元</w:t>
      </w:r>
      <w:r>
        <w:rPr>
          <w:rFonts w:hint="default" w:ascii="Times New Roman" w:hAnsi="Times New Roman" w:eastAsia="仿宋_GB2312" w:cs="Times New Roman"/>
          <w:sz w:val="32"/>
          <w:szCs w:val="32"/>
          <w:u w:val="none"/>
        </w:rPr>
        <w:t>、物业管理费</w:t>
      </w:r>
      <w:r>
        <w:rPr>
          <w:rFonts w:hint="eastAsia" w:eastAsia="仿宋_GB2312" w:cs="Times New Roman"/>
          <w:sz w:val="32"/>
          <w:szCs w:val="32"/>
          <w:u w:val="none"/>
          <w:lang w:val="en-US" w:eastAsia="zh-CN"/>
        </w:rPr>
        <w:t>1.37万元</w:t>
      </w:r>
      <w:r>
        <w:rPr>
          <w:rFonts w:hint="default" w:ascii="Times New Roman" w:hAnsi="Times New Roman" w:eastAsia="仿宋_GB2312" w:cs="Times New Roman"/>
          <w:sz w:val="32"/>
          <w:szCs w:val="32"/>
          <w:u w:val="none"/>
        </w:rPr>
        <w:t>、公务接待费</w:t>
      </w:r>
      <w:r>
        <w:rPr>
          <w:rFonts w:hint="eastAsia" w:eastAsia="仿宋_GB2312" w:cs="Times New Roman"/>
          <w:sz w:val="32"/>
          <w:szCs w:val="32"/>
          <w:u w:val="none"/>
          <w:lang w:val="en-US" w:eastAsia="zh-CN"/>
        </w:rPr>
        <w:t>0.20万元</w:t>
      </w:r>
      <w:r>
        <w:rPr>
          <w:rFonts w:hint="default" w:ascii="Times New Roman" w:hAnsi="Times New Roman" w:eastAsia="仿宋_GB2312" w:cs="Times New Roman"/>
          <w:sz w:val="32"/>
          <w:szCs w:val="32"/>
          <w:u w:val="none"/>
        </w:rPr>
        <w:t>、劳务费</w:t>
      </w:r>
      <w:r>
        <w:rPr>
          <w:rFonts w:hint="eastAsia" w:eastAsia="仿宋_GB2312" w:cs="Times New Roman"/>
          <w:sz w:val="32"/>
          <w:szCs w:val="32"/>
          <w:u w:val="none"/>
          <w:lang w:val="en-US" w:eastAsia="zh-CN"/>
        </w:rPr>
        <w:t>1.50万元</w:t>
      </w:r>
      <w:r>
        <w:rPr>
          <w:rFonts w:hint="default" w:ascii="Times New Roman" w:hAnsi="Times New Roman" w:eastAsia="仿宋_GB2312" w:cs="Times New Roman"/>
          <w:sz w:val="32"/>
          <w:szCs w:val="32"/>
          <w:u w:val="none"/>
        </w:rPr>
        <w:t>、工会经费</w:t>
      </w:r>
      <w:r>
        <w:rPr>
          <w:rFonts w:hint="eastAsia" w:eastAsia="仿宋_GB2312" w:cs="Times New Roman"/>
          <w:sz w:val="32"/>
          <w:szCs w:val="32"/>
          <w:u w:val="none"/>
          <w:lang w:val="en-US" w:eastAsia="zh-CN"/>
        </w:rPr>
        <w:t>5.32万元</w:t>
      </w:r>
      <w:r>
        <w:rPr>
          <w:rFonts w:hint="default" w:ascii="Times New Roman" w:hAnsi="Times New Roman" w:eastAsia="仿宋_GB2312" w:cs="Times New Roman"/>
          <w:sz w:val="32"/>
          <w:szCs w:val="32"/>
          <w:u w:val="none"/>
        </w:rPr>
        <w:t>、公务用车运行维护费</w:t>
      </w:r>
      <w:r>
        <w:rPr>
          <w:rFonts w:hint="eastAsia" w:eastAsia="仿宋_GB2312" w:cs="Times New Roman"/>
          <w:sz w:val="32"/>
          <w:szCs w:val="32"/>
          <w:u w:val="none"/>
          <w:lang w:val="en-US" w:eastAsia="zh-CN"/>
        </w:rPr>
        <w:t>2.50万元</w:t>
      </w:r>
      <w:r>
        <w:rPr>
          <w:rFonts w:hint="default" w:ascii="Times New Roman" w:hAnsi="Times New Roman" w:eastAsia="仿宋_GB2312" w:cs="Times New Roman"/>
          <w:sz w:val="32"/>
          <w:szCs w:val="32"/>
          <w:u w:val="none"/>
        </w:rPr>
        <w:t>、其他商品和服务支出</w:t>
      </w:r>
      <w:r>
        <w:rPr>
          <w:rFonts w:hint="eastAsia" w:eastAsia="仿宋_GB2312" w:cs="Times New Roman"/>
          <w:sz w:val="32"/>
          <w:szCs w:val="32"/>
          <w:u w:val="none"/>
          <w:lang w:val="en-US" w:eastAsia="zh-CN"/>
        </w:rPr>
        <w:t>11.03万元</w:t>
      </w:r>
      <w:r>
        <w:rPr>
          <w:rFonts w:hint="default" w:ascii="Times New Roman" w:hAnsi="Times New Roman" w:eastAsia="仿宋_GB2312" w:cs="Times New Roman"/>
          <w:sz w:val="32"/>
          <w:szCs w:val="32"/>
          <w:u w:val="none"/>
        </w:rPr>
        <w:t>、其他对个人和家庭的补助</w:t>
      </w:r>
      <w:r>
        <w:rPr>
          <w:rFonts w:hint="eastAsia" w:ascii="Times New Roman" w:hAnsi="Times New Roman" w:eastAsia="仿宋_GB2312" w:cs="Times New Roman"/>
          <w:sz w:val="32"/>
          <w:szCs w:val="32"/>
          <w:u w:val="none"/>
          <w:lang w:val="en-US" w:eastAsia="zh-CN"/>
        </w:rPr>
        <w:t>0.72万元</w:t>
      </w:r>
      <w:r>
        <w:rPr>
          <w:rFonts w:hint="default" w:ascii="Times New Roman" w:hAnsi="Times New Roman" w:eastAsia="仿宋_GB2312" w:cs="Times New Roman"/>
          <w:sz w:val="32"/>
          <w:szCs w:val="32"/>
          <w:u w:val="none"/>
        </w:rPr>
        <w:t>。</w:t>
      </w:r>
    </w:p>
    <w:p w14:paraId="38C3F107">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七、一般公共预算“三公”经费支出预算情况说明</w:t>
      </w:r>
    </w:p>
    <w:p w14:paraId="341C6D36">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包头市林业和草原灾害防控中心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年度一般公共预算拨款安排的“三公”经费预算支出</w:t>
      </w:r>
      <w:r>
        <w:rPr>
          <w:rFonts w:hint="eastAsia" w:eastAsia="仿宋_GB2312" w:cs="Times New Roman"/>
          <w:sz w:val="32"/>
          <w:szCs w:val="32"/>
          <w:u w:val="none"/>
          <w:lang w:val="en-US" w:eastAsia="zh-CN"/>
        </w:rPr>
        <w:t>2.70</w:t>
      </w:r>
      <w:r>
        <w:rPr>
          <w:rFonts w:hint="default" w:ascii="Times New Roman" w:hAnsi="Times New Roman" w:eastAsia="仿宋_GB2312" w:cs="Times New Roman"/>
          <w:sz w:val="32"/>
          <w:szCs w:val="32"/>
          <w:u w:val="none"/>
        </w:rPr>
        <w:t>万元，其中因公出国（境）费支出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%；公务用车购置及运行维护费支出</w:t>
      </w:r>
      <w:r>
        <w:rPr>
          <w:rFonts w:hint="eastAsia" w:eastAsia="仿宋_GB2312" w:cs="Times New Roman"/>
          <w:sz w:val="32"/>
          <w:szCs w:val="32"/>
          <w:u w:val="none"/>
          <w:lang w:val="en-US" w:eastAsia="zh-CN"/>
        </w:rPr>
        <w:t>2.50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92.59</w:t>
      </w:r>
      <w:r>
        <w:rPr>
          <w:rFonts w:hint="default" w:ascii="Times New Roman" w:hAnsi="Times New Roman" w:eastAsia="仿宋_GB2312" w:cs="Times New Roman"/>
          <w:sz w:val="32"/>
          <w:szCs w:val="32"/>
          <w:u w:val="none"/>
        </w:rPr>
        <w:t>%；公务接待费支出</w:t>
      </w:r>
      <w:r>
        <w:rPr>
          <w:rFonts w:hint="eastAsia" w:eastAsia="仿宋_GB2312" w:cs="Times New Roman"/>
          <w:sz w:val="32"/>
          <w:szCs w:val="32"/>
          <w:u w:val="none"/>
          <w:lang w:val="en-US" w:eastAsia="zh-CN"/>
        </w:rPr>
        <w:t>0.20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7.41</w:t>
      </w:r>
      <w:r>
        <w:rPr>
          <w:rFonts w:hint="default" w:ascii="Times New Roman" w:hAnsi="Times New Roman" w:eastAsia="仿宋_GB2312" w:cs="Times New Roman"/>
          <w:sz w:val="32"/>
          <w:szCs w:val="32"/>
          <w:u w:val="none"/>
        </w:rPr>
        <w:t>%。具体情况如下：</w:t>
      </w:r>
    </w:p>
    <w:p w14:paraId="27B07F27">
      <w:pPr>
        <w:pageBreakBefore w:val="0"/>
        <w:kinsoku/>
        <w:wordWrap/>
        <w:overflowPunct/>
        <w:topLinePunct w:val="0"/>
        <w:bidi w:val="0"/>
        <w:spacing w:line="600" w:lineRule="exact"/>
        <w:ind w:left="29" w:right="96" w:firstLine="65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一般公共预算拨款安排的“三公”经费预算支出</w:t>
      </w:r>
      <w:r>
        <w:rPr>
          <w:rFonts w:hint="eastAsia" w:eastAsia="仿宋_GB2312" w:cs="Times New Roman"/>
          <w:sz w:val="32"/>
          <w:szCs w:val="32"/>
          <w:u w:val="none"/>
          <w:lang w:val="en-US" w:eastAsia="zh-CN"/>
        </w:rPr>
        <w:t>2.70</w:t>
      </w:r>
      <w:r>
        <w:rPr>
          <w:rFonts w:hint="default" w:ascii="Times New Roman" w:hAnsi="Times New Roman" w:eastAsia="仿宋_GB2312" w:cs="Times New Roman"/>
          <w:spacing w:val="-4"/>
          <w:sz w:val="32"/>
          <w:szCs w:val="32"/>
          <w:u w:val="none"/>
        </w:rPr>
        <w:t>万元，比上年预</w:t>
      </w:r>
      <w:r>
        <w:rPr>
          <w:rFonts w:hint="default" w:ascii="Times New Roman" w:hAnsi="Times New Roman" w:eastAsia="仿宋_GB2312" w:cs="Times New Roman"/>
          <w:spacing w:val="-6"/>
          <w:sz w:val="32"/>
          <w:szCs w:val="32"/>
          <w:u w:val="none"/>
        </w:rPr>
        <w:t>算增加</w:t>
      </w:r>
      <w:r>
        <w:rPr>
          <w:rFonts w:hint="eastAsia" w:eastAsia="仿宋_GB2312" w:cs="Times New Roman"/>
          <w:spacing w:val="-6"/>
          <w:sz w:val="32"/>
          <w:szCs w:val="32"/>
          <w:u w:val="none"/>
          <w:lang w:val="en-US" w:eastAsia="zh-CN"/>
        </w:rPr>
        <w:t>0.00</w:t>
      </w:r>
      <w:r>
        <w:rPr>
          <w:rFonts w:hint="default" w:ascii="Times New Roman" w:hAnsi="Times New Roman" w:eastAsia="仿宋_GB2312" w:cs="Times New Roman"/>
          <w:spacing w:val="-6"/>
          <w:sz w:val="32"/>
          <w:szCs w:val="32"/>
          <w:u w:val="none"/>
        </w:rPr>
        <w:t>万元，</w:t>
      </w:r>
      <w:r>
        <w:rPr>
          <w:rFonts w:hint="default" w:ascii="Times New Roman" w:hAnsi="Times New Roman" w:eastAsia="仿宋_GB2312" w:cs="Times New Roman"/>
          <w:sz w:val="32"/>
          <w:szCs w:val="32"/>
          <w:u w:val="none"/>
        </w:rPr>
        <w:t>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ab/>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pacing w:val="-6"/>
          <w:sz w:val="32"/>
          <w:szCs w:val="32"/>
          <w:u w:val="none"/>
        </w:rPr>
        <w:t>；</w:t>
      </w:r>
      <w:r>
        <w:rPr>
          <w:rFonts w:hint="default" w:ascii="Times New Roman" w:hAnsi="Times New Roman" w:eastAsia="仿宋_GB2312" w:cs="Times New Roman"/>
          <w:spacing w:val="70"/>
          <w:sz w:val="32"/>
          <w:szCs w:val="32"/>
          <w:u w:val="none"/>
        </w:rPr>
        <w:t xml:space="preserve"> </w:t>
      </w:r>
      <w:r>
        <w:rPr>
          <w:rFonts w:hint="default" w:ascii="Times New Roman" w:hAnsi="Times New Roman" w:eastAsia="仿宋_GB2312" w:cs="Times New Roman"/>
          <w:spacing w:val="-4"/>
          <w:sz w:val="32"/>
          <w:szCs w:val="32"/>
          <w:u w:val="none"/>
        </w:rPr>
        <w:t>其中：</w:t>
      </w:r>
    </w:p>
    <w:p w14:paraId="2513BB11">
      <w:pPr>
        <w:pStyle w:val="8"/>
        <w:pageBreakBefore w:val="0"/>
        <w:kinsoku/>
        <w:wordWrap/>
        <w:overflowPunct/>
        <w:topLinePunct w:val="0"/>
        <w:bidi w:val="0"/>
        <w:spacing w:after="0" w:line="600" w:lineRule="exact"/>
        <w:ind w:left="17" w:leftChars="8"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1．因公出国（境）费预算支出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70DFD318">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2．公务用车购置及运行维护费预算支出</w:t>
      </w:r>
      <w:r>
        <w:rPr>
          <w:rFonts w:hint="eastAsia" w:eastAsia="仿宋_GB2312" w:cs="Times New Roman"/>
          <w:sz w:val="32"/>
          <w:szCs w:val="32"/>
          <w:u w:val="none"/>
          <w:lang w:val="en-US" w:eastAsia="zh-CN"/>
        </w:rPr>
        <w:t>2.50</w:t>
      </w:r>
      <w:r>
        <w:rPr>
          <w:rFonts w:hint="default" w:ascii="Times New Roman" w:hAnsi="Times New Roman" w:eastAsia="仿宋_GB2312" w:cs="Times New Roman"/>
          <w:sz w:val="32"/>
          <w:szCs w:val="32"/>
          <w:u w:val="none"/>
        </w:rPr>
        <w:t>万元。其中：</w:t>
      </w:r>
      <w:r>
        <w:rPr>
          <w:rFonts w:hint="default" w:ascii="Times New Roman" w:hAnsi="Times New Roman" w:eastAsia="仿宋_GB2312" w:cs="Times New Roman"/>
          <w:sz w:val="32"/>
          <w:szCs w:val="32"/>
          <w:u w:val="none"/>
        </w:rPr>
        <w:tab/>
      </w:r>
    </w:p>
    <w:p w14:paraId="7B4C841D">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（1）公务用车购置预算支出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eastAsia="zh-CN"/>
        </w:rPr>
        <w:t>不存在此项内容</w:t>
      </w:r>
      <w:r>
        <w:rPr>
          <w:rFonts w:hint="default" w:ascii="Times New Roman" w:hAnsi="Times New Roman" w:eastAsia="仿宋_GB2312" w:cs="Times New Roman"/>
          <w:sz w:val="32"/>
          <w:szCs w:val="32"/>
          <w:u w:val="none"/>
        </w:rPr>
        <w:t>。</w:t>
      </w:r>
    </w:p>
    <w:p w14:paraId="4CC43E45">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（2）公务用车运行维护费预算支出</w:t>
      </w:r>
      <w:r>
        <w:rPr>
          <w:rFonts w:hint="eastAsia" w:eastAsia="仿宋_GB2312" w:cs="Times New Roman"/>
          <w:sz w:val="32"/>
          <w:szCs w:val="32"/>
          <w:u w:val="none"/>
          <w:lang w:val="en-US" w:eastAsia="zh-CN"/>
        </w:rPr>
        <w:t>2.50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万元，主要原因我单位公车保有量与上年一致，故公车维护费较上年无差异。</w:t>
      </w:r>
    </w:p>
    <w:p w14:paraId="4C4001C6">
      <w:pPr>
        <w:pStyle w:val="8"/>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3．公务接待费预算支出</w:t>
      </w:r>
      <w:r>
        <w:rPr>
          <w:rFonts w:hint="eastAsia" w:eastAsia="仿宋_GB2312" w:cs="Times New Roman"/>
          <w:sz w:val="32"/>
          <w:szCs w:val="32"/>
          <w:u w:val="none"/>
          <w:lang w:val="en-US" w:eastAsia="zh-CN"/>
        </w:rPr>
        <w:t>0.20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万元，主要原因</w:t>
      </w:r>
      <w:r>
        <w:rPr>
          <w:rFonts w:hint="eastAsia" w:eastAsia="仿宋_GB2312" w:cs="Times New Roman"/>
          <w:sz w:val="32"/>
          <w:szCs w:val="32"/>
          <w:u w:val="none"/>
          <w:lang w:eastAsia="zh-CN"/>
        </w:rPr>
        <w:t>厉行节约，严格压缩三公经费，确保不超上年同期预算数</w:t>
      </w:r>
      <w:r>
        <w:rPr>
          <w:rFonts w:hint="default" w:ascii="Times New Roman" w:hAnsi="Times New Roman" w:eastAsia="仿宋_GB2312" w:cs="Times New Roman"/>
          <w:sz w:val="32"/>
          <w:szCs w:val="32"/>
          <w:u w:val="none"/>
        </w:rPr>
        <w:t>。</w:t>
      </w:r>
    </w:p>
    <w:p w14:paraId="5228BD3E">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八、政府性基金预算支出预算情况说明</w:t>
      </w:r>
    </w:p>
    <w:p w14:paraId="3A558A0E">
      <w:pPr>
        <w:pStyle w:val="8"/>
        <w:pageBreakBefore w:val="0"/>
        <w:kinsoku/>
        <w:wordWrap/>
        <w:overflowPunct/>
        <w:topLinePunct w:val="0"/>
        <w:bidi w:val="0"/>
        <w:spacing w:after="0" w:line="600" w:lineRule="exact"/>
        <w:ind w:left="17" w:leftChars="8"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eastAsia="zh-CN"/>
        </w:rPr>
        <w:t>包头市林业和草原灾害防控中心</w:t>
      </w: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年政府性基金支出预算支出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%。主要原因是</w:t>
      </w:r>
      <w:r>
        <w:rPr>
          <w:rFonts w:hint="eastAsia" w:ascii="Times New Roman" w:hAnsi="Times New Roman" w:eastAsia="仿宋_GB2312" w:cs="Times New Roman"/>
          <w:sz w:val="32"/>
          <w:szCs w:val="32"/>
          <w:u w:val="none"/>
        </w:rPr>
        <w:t>本年无政府性基金预算拨款支出</w:t>
      </w:r>
      <w:r>
        <w:rPr>
          <w:rFonts w:hint="default" w:ascii="Times New Roman" w:hAnsi="Times New Roman" w:eastAsia="仿宋_GB2312" w:cs="Times New Roman"/>
          <w:sz w:val="32"/>
          <w:szCs w:val="32"/>
          <w:u w:val="none"/>
        </w:rPr>
        <w:t>。</w:t>
      </w:r>
    </w:p>
    <w:p w14:paraId="2A954B06">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九、国有资本经营预算支出预算情况说明</w:t>
      </w:r>
    </w:p>
    <w:p w14:paraId="09550FAF">
      <w:pPr>
        <w:pageBreakBefore w:val="0"/>
        <w:kinsoku/>
        <w:wordWrap/>
        <w:overflowPunct/>
        <w:topLinePunct w:val="0"/>
        <w:bidi w:val="0"/>
        <w:spacing w:line="600" w:lineRule="exact"/>
        <w:ind w:firstLine="640" w:firstLineChars="200"/>
        <w:rPr>
          <w:rFonts w:eastAsia="仿宋_GB2312" w:cstheme="minorBidi"/>
          <w:sz w:val="32"/>
          <w:szCs w:val="32"/>
          <w:u w:val="none"/>
        </w:rPr>
      </w:pPr>
      <w:r>
        <w:rPr>
          <w:rFonts w:hint="eastAsia" w:eastAsia="仿宋_GB2312" w:cstheme="minorBidi"/>
          <w:sz w:val="32"/>
          <w:szCs w:val="32"/>
          <w:u w:val="none"/>
          <w:lang w:eastAsia="zh-CN"/>
        </w:rPr>
        <w:t>包头市林业和草原灾害防控中心</w:t>
      </w:r>
      <w:r>
        <w:rPr>
          <w:rFonts w:hint="eastAsia" w:eastAsia="仿宋_GB2312" w:cstheme="minorBidi"/>
          <w:sz w:val="32"/>
          <w:szCs w:val="32"/>
          <w:u w:val="none"/>
          <w:lang w:val="en-US" w:eastAsia="zh-CN"/>
        </w:rPr>
        <w:t>2026</w:t>
      </w:r>
      <w:r>
        <w:rPr>
          <w:rFonts w:hint="eastAsia" w:eastAsia="仿宋_GB2312" w:cstheme="minorBidi"/>
          <w:sz w:val="32"/>
          <w:szCs w:val="32"/>
          <w:u w:val="none"/>
        </w:rPr>
        <w:t>年国有资本经营预算支出</w:t>
      </w:r>
      <w:r>
        <w:rPr>
          <w:rFonts w:hint="eastAsia" w:eastAsia="仿宋_GB2312" w:cstheme="minorBidi"/>
          <w:sz w:val="32"/>
          <w:szCs w:val="32"/>
          <w:u w:val="none"/>
          <w:lang w:val="en-US" w:eastAsia="zh-CN"/>
        </w:rPr>
        <w:t>0.00</w:t>
      </w:r>
      <w:r>
        <w:rPr>
          <w:rFonts w:hint="eastAsia" w:eastAsia="仿宋_GB2312" w:cstheme="minorBidi"/>
          <w:sz w:val="32"/>
          <w:szCs w:val="32"/>
          <w:u w:val="none"/>
        </w:rPr>
        <w:t>万元。与上年相比增加</w:t>
      </w:r>
      <w:r>
        <w:rPr>
          <w:rFonts w:hint="eastAsia" w:eastAsia="仿宋_GB2312" w:cstheme="minorBidi"/>
          <w:sz w:val="32"/>
          <w:szCs w:val="32"/>
          <w:u w:val="none"/>
          <w:lang w:val="en-US" w:eastAsia="zh-CN"/>
        </w:rPr>
        <w:t>0.00</w:t>
      </w:r>
      <w:r>
        <w:rPr>
          <w:rFonts w:hint="eastAsia" w:eastAsia="仿宋_GB2312" w:cstheme="minorBidi"/>
          <w:sz w:val="32"/>
          <w:szCs w:val="32"/>
          <w:u w:val="none"/>
        </w:rPr>
        <w:t>万元，增长</w:t>
      </w:r>
      <w:r>
        <w:rPr>
          <w:rFonts w:hint="eastAsia" w:eastAsia="仿宋_GB2312" w:cstheme="minorBidi"/>
          <w:sz w:val="32"/>
          <w:szCs w:val="32"/>
          <w:u w:val="none"/>
          <w:lang w:val="en-US" w:eastAsia="zh-CN"/>
        </w:rPr>
        <w:t>0.00</w:t>
      </w:r>
      <w:r>
        <w:rPr>
          <w:rFonts w:hint="eastAsia" w:eastAsia="仿宋_GB2312" w:cstheme="minorBidi"/>
          <w:sz w:val="32"/>
          <w:szCs w:val="32"/>
          <w:u w:val="none"/>
        </w:rPr>
        <w:t>%。主要原因</w:t>
      </w:r>
      <w:r>
        <w:rPr>
          <w:rFonts w:hint="eastAsia" w:ascii="Times New Roman" w:hAnsi="Times New Roman" w:eastAsia="仿宋_GB2312" w:cs="Times New Roman"/>
          <w:kern w:val="2"/>
          <w:sz w:val="32"/>
          <w:szCs w:val="32"/>
          <w:u w:val="none"/>
          <w:lang w:val="en-US" w:eastAsia="zh-CN" w:bidi="ar-SA"/>
        </w:rPr>
        <w:t>是本年无国有资本经营预算拨款支出。</w:t>
      </w:r>
    </w:p>
    <w:p w14:paraId="22C1CA51">
      <w:pPr>
        <w:pageBreakBefore w:val="0"/>
        <w:kinsoku/>
        <w:wordWrap/>
        <w:overflowPunct/>
        <w:topLinePunct w:val="0"/>
        <w:bidi w:val="0"/>
        <w:spacing w:line="600" w:lineRule="exact"/>
        <w:ind w:firstLine="640" w:firstLineChars="200"/>
        <w:rPr>
          <w:b w:val="0"/>
          <w:bCs w:val="0"/>
          <w:i/>
          <w:iCs/>
          <w:highlight w:val="yellow"/>
          <w:u w:val="none"/>
        </w:rPr>
      </w:pPr>
      <w:r>
        <w:rPr>
          <w:rFonts w:hint="eastAsia" w:eastAsia="黑体" w:cs="黑体"/>
          <w:b w:val="0"/>
          <w:bCs w:val="0"/>
          <w:sz w:val="32"/>
          <w:szCs w:val="36"/>
          <w:u w:val="none"/>
        </w:rPr>
        <w:t>十、项目支出预算情况说明</w:t>
      </w:r>
    </w:p>
    <w:p w14:paraId="7AED84C3">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年单位预算安排项目</w:t>
      </w:r>
      <w:r>
        <w:rPr>
          <w:rFonts w:hint="eastAsia"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个，项目预算总金额</w:t>
      </w:r>
      <w:r>
        <w:rPr>
          <w:rFonts w:hint="eastAsia" w:eastAsia="仿宋_GB2312" w:cs="Times New Roman"/>
          <w:sz w:val="32"/>
          <w:szCs w:val="32"/>
          <w:u w:val="none"/>
          <w:lang w:val="en-US" w:eastAsia="zh-CN"/>
        </w:rPr>
        <w:t>5.00</w:t>
      </w:r>
      <w:r>
        <w:rPr>
          <w:rFonts w:hint="default" w:ascii="Times New Roman" w:hAnsi="Times New Roman" w:eastAsia="仿宋_GB2312" w:cs="Times New Roman"/>
          <w:sz w:val="32"/>
          <w:szCs w:val="32"/>
          <w:u w:val="none"/>
        </w:rPr>
        <w:t>万元。其中，财政本年拨款金额</w:t>
      </w:r>
      <w:r>
        <w:rPr>
          <w:rFonts w:hint="eastAsia" w:eastAsia="仿宋_GB2312" w:cs="Times New Roman"/>
          <w:sz w:val="32"/>
          <w:szCs w:val="32"/>
          <w:u w:val="none"/>
          <w:lang w:val="en-US" w:eastAsia="zh-CN"/>
        </w:rPr>
        <w:t>5.00</w:t>
      </w:r>
      <w:r>
        <w:rPr>
          <w:rFonts w:hint="default" w:ascii="Times New Roman" w:hAnsi="Times New Roman" w:eastAsia="仿宋_GB2312" w:cs="Times New Roman"/>
          <w:sz w:val="32"/>
          <w:szCs w:val="32"/>
          <w:u w:val="none"/>
        </w:rPr>
        <w:t>万元，财政拨款结转结余</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万元，财政专户管理资金</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万元，单位资金</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w:t>
      </w:r>
    </w:p>
    <w:p w14:paraId="7EB000B1">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u w:val="none"/>
          <w:lang w:eastAsia="zh-CN"/>
          <w14:textFill>
            <w14:solidFill>
              <w14:schemeClr w14:val="tx1"/>
            </w14:solidFill>
          </w14:textFill>
        </w:rPr>
        <w:t>（一）项目名称</w:t>
      </w:r>
    </w:p>
    <w:p w14:paraId="14F20D40">
      <w:pPr>
        <w:pageBreakBefore w:val="0"/>
        <w:pBdr>
          <w:bottom w:val="single" w:color="FFFFFF" w:sz="4" w:space="30"/>
        </w:pBdr>
        <w:kinsoku/>
        <w:wordWrap/>
        <w:overflowPunct/>
        <w:topLinePunct w:val="0"/>
        <w:bidi w:val="0"/>
        <w:snapToGrid w:val="0"/>
        <w:spacing w:line="600" w:lineRule="exact"/>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1.重大林业有害生物防控补助费 </w:t>
      </w:r>
    </w:p>
    <w:p w14:paraId="6D63CF2A">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本项目主要用于开展林业有害生物监测、防治、检疫、普查等相关业务</w:t>
      </w:r>
      <w:r>
        <w:rPr>
          <w:rFonts w:hint="eastAsia" w:ascii="Times New Roman" w:hAnsi="Times New Roman" w:eastAsia="仿宋_GB2312" w:cs="Times New Roman"/>
          <w:bCs/>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 </w:t>
      </w:r>
    </w:p>
    <w:p w14:paraId="0000CBDD">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2.立项依据 </w:t>
      </w:r>
    </w:p>
    <w:p w14:paraId="15EE3C36">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根据《包头市人民政府办公室关于印发包头市重大林业和草原有害生物灾害应急预案的通知》（包府办发〔2023〕105 号）、《林业和草原主要灾害种类及其分级（试行）》（内林草防函〔2022〕13 号）； 《包头市松材线虫病疫情防控五年攻坚行动总体方案》、《松材线虫病防治技术方案》、《松材线虫病疫木和疫区管理办法》、《国务院办公厅关于进一步加强林业有害生物防治工作的意见》等。</w:t>
      </w:r>
    </w:p>
    <w:p w14:paraId="3BD61207">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3.实施主体 </w:t>
      </w:r>
    </w:p>
    <w:p w14:paraId="15547698">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包头市林业和草原灾害防控中心</w:t>
      </w:r>
    </w:p>
    <w:p w14:paraId="1A0461A6">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4.实施方案 </w:t>
      </w:r>
    </w:p>
    <w:p w14:paraId="084FDF9D">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根据重大林业有害生物防治资金用途用制定本年专项经费预算主要202</w:t>
      </w:r>
      <w:r>
        <w:rPr>
          <w:rFonts w:hint="eastAsia" w:ascii="Times New Roman" w:hAnsi="Times New Roman" w:eastAsia="仿宋_GB2312" w:cs="Times New Roman"/>
          <w:bCs/>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年度重大全市林业有害生物预测预报、防治、检疫、普查经费等。 </w:t>
      </w:r>
    </w:p>
    <w:p w14:paraId="324E4ABF">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5.实施周期 </w:t>
      </w:r>
    </w:p>
    <w:p w14:paraId="0F4496E5">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自202</w:t>
      </w:r>
      <w:r>
        <w:rPr>
          <w:rFonts w:hint="eastAsia" w:eastAsia="仿宋_GB2312" w:cs="Times New Roman"/>
          <w:bCs/>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年1月1日至202</w:t>
      </w:r>
      <w:r>
        <w:rPr>
          <w:rFonts w:hint="eastAsia" w:eastAsia="仿宋_GB2312" w:cs="Times New Roman"/>
          <w:bCs/>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年12月31日。 </w:t>
      </w:r>
    </w:p>
    <w:p w14:paraId="3705DC04">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 xml:space="preserve">6.年度预算安排 </w:t>
      </w:r>
    </w:p>
    <w:p w14:paraId="5CF787AF">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202</w:t>
      </w:r>
      <w:r>
        <w:rPr>
          <w:rFonts w:hint="eastAsia" w:eastAsia="仿宋_GB2312" w:cs="Times New Roman"/>
          <w:bCs/>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bCs/>
          <w:color w:val="000000" w:themeColor="text1"/>
          <w:sz w:val="32"/>
          <w:szCs w:val="32"/>
          <w:u w:val="none"/>
          <w14:textFill>
            <w14:solidFill>
              <w14:schemeClr w14:val="tx1"/>
            </w14:solidFill>
          </w14:textFill>
        </w:rPr>
        <w:t>年该项目预算</w:t>
      </w:r>
      <w:r>
        <w:rPr>
          <w:rFonts w:hint="eastAsia" w:eastAsia="仿宋_GB2312" w:cs="Times New Roman"/>
          <w:bCs/>
          <w:color w:val="000000" w:themeColor="text1"/>
          <w:sz w:val="32"/>
          <w:szCs w:val="32"/>
          <w:u w:val="none"/>
          <w:lang w:val="en-US" w:eastAsia="zh-CN"/>
          <w14:textFill>
            <w14:solidFill>
              <w14:schemeClr w14:val="tx1"/>
            </w14:solidFill>
          </w14:textFill>
        </w:rPr>
        <w:t>5.00万</w:t>
      </w:r>
      <w:r>
        <w:rPr>
          <w:rFonts w:hint="default" w:ascii="Times New Roman" w:hAnsi="Times New Roman" w:eastAsia="仿宋_GB2312" w:cs="Times New Roman"/>
          <w:bCs/>
          <w:color w:val="000000" w:themeColor="text1"/>
          <w:sz w:val="32"/>
          <w:szCs w:val="32"/>
          <w:u w:val="none"/>
          <w14:textFill>
            <w14:solidFill>
              <w14:schemeClr w14:val="tx1"/>
            </w14:solidFill>
          </w14:textFill>
        </w:rPr>
        <w:t>元。</w:t>
      </w:r>
    </w:p>
    <w:p w14:paraId="08D13F85">
      <w:pPr>
        <w:pageBreakBefore w:val="0"/>
        <w:pBdr>
          <w:bottom w:val="single" w:color="FFFFFF" w:sz="4" w:space="30"/>
        </w:pBdr>
        <w:kinsoku/>
        <w:wordWrap/>
        <w:overflowPunct/>
        <w:topLinePunct w:val="0"/>
        <w:bidi w:val="0"/>
        <w:snapToGrid w:val="0"/>
        <w:spacing w:line="600" w:lineRule="exact"/>
        <w:rPr>
          <w:rFonts w:hint="eastAsia" w:eastAsia="黑体" w:cs="黑体"/>
          <w:b w:val="0"/>
          <w:bCs w:val="0"/>
          <w:sz w:val="32"/>
          <w:szCs w:val="36"/>
          <w:u w:val="none"/>
        </w:rPr>
      </w:pPr>
      <w:r>
        <w:rPr>
          <w:rFonts w:hint="eastAsia" w:ascii="黑体" w:hAnsi="黑体" w:eastAsia="黑体" w:cs="黑体"/>
          <w:b w:val="0"/>
          <w:bCs/>
          <w:i w:val="0"/>
          <w:iCs w:val="0"/>
          <w:color w:val="000000" w:themeColor="text1"/>
          <w:sz w:val="32"/>
          <w:szCs w:val="32"/>
          <w:highlight w:val="none"/>
          <w:u w:val="none"/>
          <w:lang w:val="en-US" w:eastAsia="zh-CN"/>
          <w14:textFill>
            <w14:solidFill>
              <w14:schemeClr w14:val="tx1"/>
            </w14:solidFill>
          </w14:textFill>
        </w:rPr>
        <w:t xml:space="preserve">    十一、</w:t>
      </w:r>
      <w:r>
        <w:rPr>
          <w:rFonts w:hint="eastAsia" w:eastAsia="黑体" w:cs="黑体"/>
          <w:b w:val="0"/>
          <w:bCs w:val="0"/>
          <w:sz w:val="32"/>
          <w:szCs w:val="36"/>
          <w:u w:val="none"/>
        </w:rPr>
        <w:t>一般公共预算机关运行经费支出预算情况说明</w:t>
      </w:r>
    </w:p>
    <w:p w14:paraId="25E28342">
      <w:pPr>
        <w:pageBreakBefore w:val="0"/>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w:t>
      </w:r>
      <w:r>
        <w:rPr>
          <w:rFonts w:hint="eastAsia" w:eastAsia="仿宋_GB2312" w:cs="Times New Roman"/>
          <w:sz w:val="32"/>
          <w:szCs w:val="32"/>
          <w:u w:val="none"/>
          <w:lang w:eastAsia="zh-CN"/>
        </w:rPr>
        <w:t>包头市林业和草原灾害防控中心</w:t>
      </w:r>
      <w:r>
        <w:rPr>
          <w:rFonts w:hint="default" w:ascii="Times New Roman" w:hAnsi="Times New Roman" w:eastAsia="仿宋_GB2312" w:cs="Times New Roman"/>
          <w:sz w:val="32"/>
          <w:szCs w:val="32"/>
          <w:u w:val="none"/>
        </w:rPr>
        <w:t>一般公共预算机关运行经费预算支出</w:t>
      </w:r>
      <w:r>
        <w:rPr>
          <w:rFonts w:hint="eastAsia" w:eastAsia="仿宋_GB2312" w:cs="Times New Roman"/>
          <w:sz w:val="32"/>
          <w:szCs w:val="32"/>
          <w:u w:val="none"/>
          <w:lang w:val="en-US" w:eastAsia="zh-CN"/>
        </w:rPr>
        <w:t>30.11</w:t>
      </w:r>
      <w:r>
        <w:rPr>
          <w:rFonts w:hint="default" w:ascii="Times New Roman" w:hAnsi="Times New Roman" w:eastAsia="仿宋_GB2312" w:cs="Times New Roman"/>
          <w:sz w:val="32"/>
          <w:szCs w:val="32"/>
          <w:u w:val="none"/>
        </w:rPr>
        <w:t>万元，主要包括以下支出：办公费</w:t>
      </w:r>
      <w:r>
        <w:rPr>
          <w:rFonts w:hint="eastAsia" w:eastAsia="仿宋_GB2312" w:cs="Times New Roman"/>
          <w:sz w:val="32"/>
          <w:szCs w:val="32"/>
          <w:u w:val="none"/>
          <w:lang w:val="en-US" w:eastAsia="zh-CN"/>
        </w:rPr>
        <w:t>5.26万元</w:t>
      </w:r>
      <w:r>
        <w:rPr>
          <w:rFonts w:hint="default" w:ascii="Times New Roman" w:hAnsi="Times New Roman" w:eastAsia="仿宋_GB2312" w:cs="Times New Roman"/>
          <w:sz w:val="32"/>
          <w:szCs w:val="32"/>
          <w:u w:val="none"/>
        </w:rPr>
        <w:t>、印刷费</w:t>
      </w:r>
      <w:r>
        <w:rPr>
          <w:rFonts w:hint="eastAsia" w:eastAsia="仿宋_GB2312" w:cs="Times New Roman"/>
          <w:sz w:val="32"/>
          <w:szCs w:val="32"/>
          <w:u w:val="none"/>
          <w:lang w:val="en-US" w:eastAsia="zh-CN"/>
        </w:rPr>
        <w:t>0.20万元</w:t>
      </w:r>
      <w:r>
        <w:rPr>
          <w:rFonts w:hint="default" w:ascii="Times New Roman" w:hAnsi="Times New Roman" w:eastAsia="仿宋_GB2312" w:cs="Times New Roman"/>
          <w:sz w:val="32"/>
          <w:szCs w:val="32"/>
          <w:u w:val="none"/>
        </w:rPr>
        <w:t>、邮电费</w:t>
      </w:r>
      <w:r>
        <w:rPr>
          <w:rFonts w:hint="eastAsia" w:eastAsia="仿宋_GB2312" w:cs="Times New Roman"/>
          <w:sz w:val="32"/>
          <w:szCs w:val="32"/>
          <w:u w:val="none"/>
          <w:lang w:val="en-US" w:eastAsia="zh-CN"/>
        </w:rPr>
        <w:t>2.00万元</w:t>
      </w:r>
      <w:r>
        <w:rPr>
          <w:rFonts w:hint="default" w:ascii="Times New Roman" w:hAnsi="Times New Roman" w:eastAsia="仿宋_GB2312" w:cs="Times New Roman"/>
          <w:sz w:val="32"/>
          <w:szCs w:val="32"/>
          <w:u w:val="none"/>
        </w:rPr>
        <w:t>、物业管理费</w:t>
      </w:r>
      <w:r>
        <w:rPr>
          <w:rFonts w:hint="eastAsia" w:eastAsia="仿宋_GB2312" w:cs="Times New Roman"/>
          <w:sz w:val="32"/>
          <w:szCs w:val="32"/>
          <w:u w:val="none"/>
          <w:lang w:val="en-US" w:eastAsia="zh-CN"/>
        </w:rPr>
        <w:t>1.37万元</w:t>
      </w:r>
      <w:r>
        <w:rPr>
          <w:rFonts w:hint="default" w:ascii="Times New Roman" w:hAnsi="Times New Roman" w:eastAsia="仿宋_GB2312" w:cs="Times New Roman"/>
          <w:sz w:val="32"/>
          <w:szCs w:val="32"/>
          <w:u w:val="none"/>
        </w:rPr>
        <w:t>、公务接待费</w:t>
      </w:r>
      <w:r>
        <w:rPr>
          <w:rFonts w:hint="eastAsia" w:eastAsia="仿宋_GB2312" w:cs="Times New Roman"/>
          <w:sz w:val="32"/>
          <w:szCs w:val="32"/>
          <w:u w:val="none"/>
          <w:lang w:val="en-US" w:eastAsia="zh-CN"/>
        </w:rPr>
        <w:t>0.20万元</w:t>
      </w:r>
      <w:r>
        <w:rPr>
          <w:rFonts w:hint="default" w:ascii="Times New Roman" w:hAnsi="Times New Roman" w:eastAsia="仿宋_GB2312" w:cs="Times New Roman"/>
          <w:sz w:val="32"/>
          <w:szCs w:val="32"/>
          <w:u w:val="none"/>
        </w:rPr>
        <w:t>、劳务费</w:t>
      </w:r>
      <w:r>
        <w:rPr>
          <w:rFonts w:hint="eastAsia" w:eastAsia="仿宋_GB2312" w:cs="Times New Roman"/>
          <w:sz w:val="32"/>
          <w:szCs w:val="32"/>
          <w:u w:val="none"/>
          <w:lang w:val="en-US" w:eastAsia="zh-CN"/>
        </w:rPr>
        <w:t>1.50万元</w:t>
      </w:r>
      <w:r>
        <w:rPr>
          <w:rFonts w:hint="default" w:ascii="Times New Roman" w:hAnsi="Times New Roman" w:eastAsia="仿宋_GB2312" w:cs="Times New Roman"/>
          <w:sz w:val="32"/>
          <w:szCs w:val="32"/>
          <w:u w:val="none"/>
        </w:rPr>
        <w:t>、工会经费</w:t>
      </w:r>
      <w:r>
        <w:rPr>
          <w:rFonts w:hint="eastAsia" w:eastAsia="仿宋_GB2312" w:cs="Times New Roman"/>
          <w:sz w:val="32"/>
          <w:szCs w:val="32"/>
          <w:u w:val="none"/>
          <w:lang w:val="en-US" w:eastAsia="zh-CN"/>
        </w:rPr>
        <w:t>5.32万元</w:t>
      </w:r>
      <w:r>
        <w:rPr>
          <w:rFonts w:hint="default" w:ascii="Times New Roman" w:hAnsi="Times New Roman" w:eastAsia="仿宋_GB2312" w:cs="Times New Roman"/>
          <w:sz w:val="32"/>
          <w:szCs w:val="32"/>
          <w:u w:val="none"/>
        </w:rPr>
        <w:t>、公务用车运行维护费</w:t>
      </w:r>
      <w:r>
        <w:rPr>
          <w:rFonts w:hint="eastAsia" w:eastAsia="仿宋_GB2312" w:cs="Times New Roman"/>
          <w:sz w:val="32"/>
          <w:szCs w:val="32"/>
          <w:u w:val="none"/>
          <w:lang w:val="en-US" w:eastAsia="zh-CN"/>
        </w:rPr>
        <w:t>2.50万元</w:t>
      </w:r>
      <w:r>
        <w:rPr>
          <w:rFonts w:hint="default" w:ascii="Times New Roman" w:hAnsi="Times New Roman" w:eastAsia="仿宋_GB2312" w:cs="Times New Roman"/>
          <w:sz w:val="32"/>
          <w:szCs w:val="32"/>
          <w:u w:val="none"/>
        </w:rPr>
        <w:t>、其他商品和服务支出</w:t>
      </w:r>
      <w:r>
        <w:rPr>
          <w:rFonts w:hint="eastAsia" w:eastAsia="仿宋_GB2312" w:cs="Times New Roman"/>
          <w:sz w:val="32"/>
          <w:szCs w:val="32"/>
          <w:u w:val="none"/>
          <w:lang w:val="en-US" w:eastAsia="zh-CN"/>
        </w:rPr>
        <w:t>11.03万元</w:t>
      </w:r>
      <w:r>
        <w:rPr>
          <w:rFonts w:hint="default" w:ascii="Times New Roman" w:hAnsi="Times New Roman" w:eastAsia="仿宋_GB2312" w:cs="Times New Roman"/>
          <w:sz w:val="32"/>
          <w:szCs w:val="32"/>
          <w:u w:val="none"/>
        </w:rPr>
        <w:t>、其他对个人和家庭的补助</w:t>
      </w:r>
      <w:r>
        <w:rPr>
          <w:rFonts w:hint="eastAsia" w:ascii="Times New Roman" w:hAnsi="Times New Roman" w:eastAsia="仿宋_GB2312" w:cs="Times New Roman"/>
          <w:sz w:val="32"/>
          <w:szCs w:val="32"/>
          <w:u w:val="none"/>
          <w:lang w:val="en-US" w:eastAsia="zh-CN"/>
        </w:rPr>
        <w:t>0.72万元</w:t>
      </w:r>
      <w:r>
        <w:rPr>
          <w:rFonts w:hint="eastAsia" w:eastAsia="仿宋_GB2312" w:cstheme="minorBidi"/>
          <w:sz w:val="32"/>
          <w:szCs w:val="32"/>
          <w:u w:val="none"/>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与</w:t>
      </w:r>
      <w:r>
        <w:rPr>
          <w:rFonts w:hint="default" w:ascii="Times New Roman" w:hAnsi="Times New Roman" w:eastAsia="仿宋_GB2312" w:cs="Times New Roman"/>
          <w:sz w:val="32"/>
          <w:szCs w:val="32"/>
          <w:u w:val="none"/>
        </w:rPr>
        <w:t>上年相比增加</w:t>
      </w:r>
      <w:r>
        <w:rPr>
          <w:rFonts w:hint="eastAsia" w:eastAsia="仿宋_GB2312" w:cs="Times New Roman"/>
          <w:sz w:val="32"/>
          <w:szCs w:val="32"/>
          <w:u w:val="none"/>
          <w:lang w:val="en-US" w:eastAsia="zh-CN"/>
        </w:rPr>
        <w:t>2.97</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10.94</w:t>
      </w:r>
      <w:r>
        <w:rPr>
          <w:rFonts w:hint="default" w:ascii="Times New Roman" w:hAnsi="Times New Roman" w:eastAsia="仿宋_GB2312" w:cs="Times New Roman"/>
          <w:sz w:val="32"/>
          <w:szCs w:val="32"/>
          <w:u w:val="none"/>
        </w:rPr>
        <w:t>%。主要原因是：</w:t>
      </w:r>
      <w:r>
        <w:rPr>
          <w:rFonts w:hint="eastAsia" w:eastAsia="仿宋_GB2312" w:cs="Times New Roman"/>
          <w:sz w:val="32"/>
          <w:szCs w:val="32"/>
          <w:u w:val="none"/>
          <w:lang w:eastAsia="zh-CN"/>
        </w:rPr>
        <w:t>本年在职人员增加两人，公用经费预算增加</w:t>
      </w:r>
      <w:r>
        <w:rPr>
          <w:rFonts w:hint="default" w:ascii="Times New Roman" w:hAnsi="Times New Roman" w:eastAsia="仿宋_GB2312" w:cs="Times New Roman"/>
          <w:sz w:val="32"/>
          <w:szCs w:val="32"/>
          <w:u w:val="none"/>
        </w:rPr>
        <w:t>。</w:t>
      </w:r>
    </w:p>
    <w:p w14:paraId="4A3FBE25">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highlight w:val="yellow"/>
          <w:u w:val="none"/>
        </w:rPr>
      </w:pPr>
      <w:r>
        <w:rPr>
          <w:rFonts w:hint="eastAsia" w:eastAsia="黑体" w:cs="黑体"/>
          <w:b w:val="0"/>
          <w:bCs w:val="0"/>
          <w:sz w:val="32"/>
          <w:szCs w:val="36"/>
          <w:u w:val="none"/>
          <w:lang w:val="en-US" w:eastAsia="zh-CN"/>
        </w:rPr>
        <w:t xml:space="preserve">    十二、</w:t>
      </w:r>
      <w:r>
        <w:rPr>
          <w:rFonts w:hint="eastAsia" w:eastAsia="黑体" w:cs="黑体"/>
          <w:b w:val="0"/>
          <w:bCs w:val="0"/>
          <w:sz w:val="32"/>
          <w:szCs w:val="36"/>
          <w:u w:val="none"/>
        </w:rPr>
        <w:t>政府采购支出预算情况说明</w:t>
      </w:r>
    </w:p>
    <w:p w14:paraId="6C75A101">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2026</w:t>
      </w:r>
      <w:r>
        <w:rPr>
          <w:rFonts w:hint="default" w:ascii="Times New Roman" w:hAnsi="Times New Roman" w:eastAsia="仿宋_GB2312" w:cs="Times New Roman"/>
          <w:sz w:val="32"/>
          <w:szCs w:val="32"/>
          <w:u w:val="none"/>
        </w:rPr>
        <w:t>年度政府采购支出预算总额</w:t>
      </w:r>
      <w:r>
        <w:rPr>
          <w:rFonts w:hint="eastAsia" w:eastAsia="仿宋_GB2312" w:cs="Times New Roman"/>
          <w:sz w:val="32"/>
          <w:szCs w:val="32"/>
          <w:u w:val="none"/>
          <w:lang w:val="en-US" w:eastAsia="zh-CN"/>
        </w:rPr>
        <w:t>4.87</w:t>
      </w:r>
      <w:r>
        <w:rPr>
          <w:rFonts w:hint="default" w:ascii="Times New Roman" w:hAnsi="Times New Roman" w:eastAsia="仿宋_GB2312" w:cs="Times New Roman"/>
          <w:sz w:val="32"/>
          <w:szCs w:val="32"/>
          <w:u w:val="none"/>
        </w:rPr>
        <w:t>万元，其中：拟采购货物支出</w:t>
      </w:r>
      <w:r>
        <w:rPr>
          <w:rFonts w:hint="eastAsia" w:eastAsia="仿宋_GB2312" w:cs="Times New Roman"/>
          <w:sz w:val="32"/>
          <w:szCs w:val="32"/>
          <w:u w:val="none"/>
          <w:lang w:val="en-US" w:eastAsia="zh-CN"/>
        </w:rPr>
        <w:t>1.00</w:t>
      </w:r>
      <w:r>
        <w:rPr>
          <w:rFonts w:hint="default" w:ascii="Times New Roman" w:hAnsi="Times New Roman" w:eastAsia="仿宋_GB2312" w:cs="Times New Roman"/>
          <w:sz w:val="32"/>
          <w:szCs w:val="32"/>
          <w:u w:val="none"/>
        </w:rPr>
        <w:t>万元、拟采购工程支出</w:t>
      </w:r>
      <w:r>
        <w:rPr>
          <w:rFonts w:hint="eastAsia" w:eastAsia="仿宋_GB2312" w:cs="Times New Roman"/>
          <w:sz w:val="32"/>
          <w:szCs w:val="32"/>
          <w:u w:val="none"/>
          <w:lang w:val="en-US" w:eastAsia="zh-CN"/>
        </w:rPr>
        <w:t>0.00</w:t>
      </w:r>
      <w:r>
        <w:rPr>
          <w:rFonts w:hint="default" w:ascii="Times New Roman" w:hAnsi="Times New Roman" w:eastAsia="仿宋_GB2312" w:cs="Times New Roman"/>
          <w:sz w:val="32"/>
          <w:szCs w:val="32"/>
          <w:u w:val="none"/>
        </w:rPr>
        <w:t>万元、拟购买服务支</w:t>
      </w:r>
      <w:r>
        <w:rPr>
          <w:rFonts w:hint="eastAsia" w:eastAsia="仿宋_GB2312" w:cs="Times New Roman"/>
          <w:sz w:val="32"/>
          <w:szCs w:val="32"/>
          <w:u w:val="none"/>
          <w:lang w:val="en-US" w:eastAsia="zh-CN"/>
        </w:rPr>
        <w:t>3.87</w:t>
      </w:r>
      <w:r>
        <w:rPr>
          <w:rFonts w:hint="default" w:ascii="Times New Roman" w:hAnsi="Times New Roman" w:eastAsia="仿宋_GB2312" w:cs="Times New Roman"/>
          <w:sz w:val="32"/>
          <w:szCs w:val="32"/>
          <w:u w:val="none"/>
        </w:rPr>
        <w:t>万元。涵盖“复印纸”、“物业管理服务”、</w:t>
      </w:r>
      <w:r>
        <w:rPr>
          <w:rFonts w:hint="eastAsia" w:ascii="Times New Roman" w:hAnsi="Times New Roman" w:eastAsia="仿宋_GB2312" w:cs="Times New Roman"/>
          <w:sz w:val="32"/>
          <w:szCs w:val="32"/>
          <w:u w:val="none"/>
          <w:lang w:eastAsia="zh-CN"/>
        </w:rPr>
        <w:t>“其他印刷服务”</w:t>
      </w:r>
      <w:r>
        <w:rPr>
          <w:rFonts w:hint="default" w:ascii="Times New Roman" w:hAnsi="Times New Roman" w:eastAsia="仿宋_GB2312" w:cs="Times New Roman"/>
          <w:sz w:val="32"/>
          <w:szCs w:val="32"/>
          <w:u w:val="none"/>
        </w:rPr>
        <w:t>等采购大类，编制政府采购预算明细</w:t>
      </w: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项，采购金额来源为</w:t>
      </w:r>
      <w:r>
        <w:rPr>
          <w:rFonts w:hint="eastAsia" w:ascii="Times New Roman" w:hAnsi="Times New Roman" w:eastAsia="仿宋_GB2312" w:cs="Times New Roman"/>
          <w:sz w:val="32"/>
          <w:szCs w:val="32"/>
          <w:u w:val="none"/>
          <w:lang w:eastAsia="zh-CN"/>
        </w:rPr>
        <w:t>一般公共预算</w:t>
      </w:r>
      <w:r>
        <w:rPr>
          <w:rFonts w:hint="default" w:ascii="Times New Roman" w:hAnsi="Times New Roman" w:eastAsia="仿宋_GB2312" w:cs="Times New Roman"/>
          <w:sz w:val="32"/>
          <w:szCs w:val="32"/>
          <w:u w:val="none"/>
        </w:rPr>
        <w:t>。</w:t>
      </w:r>
    </w:p>
    <w:p w14:paraId="4B01EED6">
      <w:pPr>
        <w:pageBreakBefore w:val="0"/>
        <w:numPr>
          <w:ilvl w:val="0"/>
          <w:numId w:val="0"/>
        </w:numPr>
        <w:pBdr>
          <w:bottom w:val="single" w:color="FFFFFF" w:sz="4" w:space="30"/>
        </w:pBdr>
        <w:kinsoku/>
        <w:wordWrap/>
        <w:overflowPunct/>
        <w:topLinePunct w:val="0"/>
        <w:bidi w:val="0"/>
        <w:snapToGrid w:val="0"/>
        <w:spacing w:line="600" w:lineRule="exact"/>
        <w:rPr>
          <w:rFonts w:hint="eastAsia" w:eastAsia="黑体" w:cs="黑体"/>
          <w:b w:val="0"/>
          <w:bCs w:val="0"/>
          <w:sz w:val="32"/>
          <w:szCs w:val="36"/>
          <w:u w:val="none"/>
        </w:rPr>
      </w:pPr>
      <w:r>
        <w:rPr>
          <w:rFonts w:hint="eastAsia" w:eastAsia="黑体" w:cs="黑体"/>
          <w:b w:val="0"/>
          <w:bCs w:val="0"/>
          <w:sz w:val="32"/>
          <w:szCs w:val="36"/>
          <w:u w:val="none"/>
          <w:lang w:val="en-US" w:eastAsia="zh-CN"/>
        </w:rPr>
        <w:t xml:space="preserve">    </w:t>
      </w:r>
      <w:r>
        <w:rPr>
          <w:rFonts w:hint="eastAsia" w:eastAsia="黑体" w:cs="黑体"/>
          <w:b w:val="0"/>
          <w:bCs w:val="0"/>
          <w:sz w:val="32"/>
          <w:szCs w:val="36"/>
          <w:u w:val="none"/>
          <w:lang w:eastAsia="zh-CN"/>
        </w:rPr>
        <w:t>十三、</w:t>
      </w:r>
      <w:r>
        <w:rPr>
          <w:rFonts w:hint="eastAsia" w:eastAsia="黑体" w:cs="黑体"/>
          <w:b w:val="0"/>
          <w:bCs w:val="0"/>
          <w:sz w:val="32"/>
          <w:szCs w:val="36"/>
          <w:u w:val="none"/>
        </w:rPr>
        <w:t>国有资产占用情况说明</w:t>
      </w:r>
    </w:p>
    <w:p w14:paraId="6D7BC496">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本单位共有车辆</w:t>
      </w:r>
      <w:r>
        <w:rPr>
          <w:rFonts w:hint="eastAsia" w:eastAsia="仿宋_GB2312" w:cs="Times New Roman"/>
          <w:sz w:val="32"/>
          <w:szCs w:val="32"/>
          <w:u w:val="none"/>
          <w:lang w:val="en-US" w:eastAsia="zh-CN"/>
        </w:rPr>
        <w:t>9</w:t>
      </w:r>
      <w:r>
        <w:rPr>
          <w:rFonts w:hint="default" w:ascii="Times New Roman" w:hAnsi="Times New Roman" w:eastAsia="仿宋_GB2312" w:cs="Times New Roman"/>
          <w:sz w:val="32"/>
          <w:szCs w:val="32"/>
          <w:u w:val="none"/>
        </w:rPr>
        <w:t>辆，其中，一般公务用车</w:t>
      </w:r>
      <w:r>
        <w:rPr>
          <w:rFonts w:hint="eastAsia" w:eastAsia="仿宋_GB2312" w:cs="Times New Roman"/>
          <w:sz w:val="32"/>
          <w:szCs w:val="32"/>
          <w:u w:val="none"/>
          <w:lang w:val="en-US" w:eastAsia="zh-CN"/>
        </w:rPr>
        <w:t>9</w:t>
      </w:r>
      <w:r>
        <w:rPr>
          <w:rFonts w:hint="default" w:ascii="Times New Roman" w:hAnsi="Times New Roman" w:eastAsia="仿宋_GB2312" w:cs="Times New Roman"/>
          <w:sz w:val="32"/>
          <w:szCs w:val="32"/>
          <w:u w:val="none"/>
        </w:rPr>
        <w:t>辆、执法执勤用车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辆、特种专业技术用车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辆、业务用车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辆、其他用车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辆等。单价50万元（含）以上的通用设备</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台（套），单价100万元（含）以上的专用设备</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台（套）。</w:t>
      </w:r>
    </w:p>
    <w:p w14:paraId="0900FD67">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u w:val="none"/>
        </w:rPr>
      </w:pPr>
      <w:r>
        <w:rPr>
          <w:rFonts w:hint="eastAsia" w:eastAsia="黑体" w:cs="黑体"/>
          <w:b w:val="0"/>
          <w:bCs w:val="0"/>
          <w:sz w:val="32"/>
          <w:szCs w:val="36"/>
          <w:u w:val="none"/>
          <w:lang w:val="en-US" w:eastAsia="zh-CN"/>
        </w:rPr>
        <w:t xml:space="preserve">    </w:t>
      </w:r>
      <w:r>
        <w:rPr>
          <w:rFonts w:hint="eastAsia" w:eastAsia="黑体" w:cs="黑体"/>
          <w:b w:val="0"/>
          <w:bCs w:val="0"/>
          <w:sz w:val="32"/>
          <w:szCs w:val="36"/>
          <w:u w:val="none"/>
          <w:lang w:eastAsia="zh-CN"/>
        </w:rPr>
        <w:t>十四、</w:t>
      </w:r>
      <w:r>
        <w:rPr>
          <w:rFonts w:hint="eastAsia" w:eastAsia="黑体" w:cs="黑体"/>
          <w:b w:val="0"/>
          <w:bCs w:val="0"/>
          <w:sz w:val="32"/>
          <w:szCs w:val="36"/>
          <w:u w:val="none"/>
        </w:rPr>
        <w:t>项目绩效目标情况说明</w:t>
      </w:r>
      <w:r>
        <w:rPr>
          <w:rFonts w:hint="eastAsia" w:eastAsia="黑体" w:cs="黑体"/>
          <w:b/>
          <w:bCs/>
          <w:sz w:val="32"/>
          <w:szCs w:val="36"/>
          <w:u w:val="none"/>
        </w:rPr>
        <w:t xml:space="preserve"> </w:t>
      </w:r>
    </w:p>
    <w:p w14:paraId="39E773AF">
      <w:pPr>
        <w:pageBreakBefore w:val="0"/>
        <w:numPr>
          <w:ilvl w:val="0"/>
          <w:numId w:val="0"/>
        </w:numPr>
        <w:pBdr>
          <w:bottom w:val="single" w:color="FFFFFF" w:sz="4" w:space="30"/>
        </w:pBdr>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u w:val="none"/>
        </w:rPr>
      </w:pPr>
      <w:r>
        <w:rPr>
          <w:rFonts w:hint="eastAsia" w:eastAsia="黑体" w:cs="黑体"/>
          <w:b/>
          <w:bCs/>
          <w:sz w:val="32"/>
          <w:szCs w:val="36"/>
          <w:u w:val="none"/>
          <w:lang w:val="en-US" w:eastAsia="zh-CN"/>
        </w:rPr>
        <w:t xml:space="preserve">    </w:t>
      </w:r>
      <w:r>
        <w:rPr>
          <w:rFonts w:hint="eastAsia" w:eastAsia="仿宋_GB2312" w:cstheme="minorBidi"/>
          <w:sz w:val="32"/>
          <w:szCs w:val="32"/>
          <w:u w:val="none"/>
          <w:lang w:val="en-US" w:eastAsia="zh-CN"/>
        </w:rPr>
        <w:t>2026</w:t>
      </w:r>
      <w:r>
        <w:rPr>
          <w:rFonts w:hint="eastAsia" w:eastAsia="仿宋_GB2312" w:cstheme="minorBidi"/>
          <w:sz w:val="32"/>
          <w:szCs w:val="32"/>
          <w:u w:val="none"/>
        </w:rPr>
        <w:t>年，填报绩效目标的预算项目</w:t>
      </w:r>
      <w:r>
        <w:rPr>
          <w:rFonts w:hint="eastAsia" w:eastAsia="仿宋_GB2312" w:cstheme="minorBidi"/>
          <w:sz w:val="32"/>
          <w:szCs w:val="32"/>
          <w:u w:val="none"/>
          <w:lang w:val="en-US" w:eastAsia="zh-CN"/>
        </w:rPr>
        <w:t>1</w:t>
      </w:r>
      <w:r>
        <w:rPr>
          <w:rFonts w:hint="eastAsia" w:eastAsia="仿宋_GB2312" w:cstheme="minorBidi"/>
          <w:sz w:val="32"/>
          <w:szCs w:val="32"/>
          <w:u w:val="none"/>
        </w:rPr>
        <w:t>个，公开绩效目标</w:t>
      </w:r>
      <w:r>
        <w:rPr>
          <w:rFonts w:hint="eastAsia" w:eastAsia="仿宋_GB2312" w:cstheme="minorBidi"/>
          <w:sz w:val="32"/>
          <w:szCs w:val="32"/>
          <w:u w:val="none"/>
          <w:lang w:val="en-US" w:eastAsia="zh-CN"/>
        </w:rPr>
        <w:t>1</w:t>
      </w:r>
      <w:r>
        <w:rPr>
          <w:rFonts w:hint="eastAsia" w:eastAsia="仿宋_GB2312" w:cstheme="minorBidi"/>
          <w:sz w:val="32"/>
          <w:szCs w:val="32"/>
          <w:u w:val="none"/>
        </w:rPr>
        <w:t>个，公开项目占</w:t>
      </w:r>
      <w:r>
        <w:rPr>
          <w:rFonts w:hint="eastAsia" w:eastAsia="仿宋_GB2312" w:cstheme="minorBidi"/>
          <w:sz w:val="32"/>
          <w:szCs w:val="32"/>
          <w:u w:val="none"/>
          <w:lang w:eastAsia="zh-CN"/>
        </w:rPr>
        <w:t>本年</w:t>
      </w:r>
      <w:r>
        <w:rPr>
          <w:rFonts w:hint="eastAsia" w:eastAsia="仿宋_GB2312" w:cstheme="minorBidi"/>
          <w:sz w:val="32"/>
          <w:szCs w:val="32"/>
          <w:u w:val="none"/>
        </w:rPr>
        <w:t>预算项目的100 %。公开填报绩效目标的项目预算</w:t>
      </w:r>
      <w:r>
        <w:rPr>
          <w:rFonts w:hint="eastAsia" w:eastAsia="仿宋_GB2312" w:cstheme="minorBidi"/>
          <w:sz w:val="32"/>
          <w:szCs w:val="32"/>
          <w:u w:val="none"/>
          <w:lang w:val="en-US" w:eastAsia="zh-CN"/>
        </w:rPr>
        <w:t>5.00</w:t>
      </w:r>
      <w:r>
        <w:rPr>
          <w:rFonts w:hint="eastAsia" w:eastAsia="仿宋_GB2312" w:cstheme="minorBidi"/>
          <w:sz w:val="32"/>
          <w:szCs w:val="32"/>
          <w:u w:val="none"/>
        </w:rPr>
        <w:t>万元，占</w:t>
      </w:r>
      <w:r>
        <w:rPr>
          <w:rFonts w:hint="eastAsia" w:eastAsia="仿宋_GB2312" w:cstheme="minorBidi"/>
          <w:sz w:val="32"/>
          <w:szCs w:val="32"/>
          <w:u w:val="none"/>
          <w:lang w:eastAsia="zh-CN"/>
        </w:rPr>
        <w:t>本年</w:t>
      </w:r>
      <w:r>
        <w:rPr>
          <w:rFonts w:hint="eastAsia" w:eastAsia="仿宋_GB2312" w:cstheme="minorBidi"/>
          <w:sz w:val="32"/>
          <w:szCs w:val="32"/>
          <w:u w:val="none"/>
        </w:rPr>
        <w:t>项目预算的100%。</w:t>
      </w:r>
    </w:p>
    <w:p w14:paraId="07A6E8AB">
      <w:pPr>
        <w:pStyle w:val="5"/>
        <w:pageBreakBefore w:val="0"/>
        <w:tabs>
          <w:tab w:val="left" w:pos="4392"/>
        </w:tabs>
        <w:kinsoku/>
        <w:wordWrap/>
        <w:overflowPunct/>
        <w:topLinePunct w:val="0"/>
        <w:bidi w:val="0"/>
        <w:spacing w:before="0" w:after="0" w:line="600" w:lineRule="exact"/>
        <w:ind w:firstLine="720" w:firstLineChars="20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第三部分   名词解释</w:t>
      </w:r>
    </w:p>
    <w:p w14:paraId="0A2FEC36">
      <w:pPr>
        <w:rPr>
          <w:sz w:val="36"/>
          <w:szCs w:val="36"/>
        </w:rPr>
      </w:pPr>
    </w:p>
    <w:p w14:paraId="329C97F1">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一、财政拨款：</w:t>
      </w:r>
      <w:r>
        <w:rPr>
          <w:rFonts w:hint="eastAsia" w:eastAsia="仿宋_GB2312" w:cstheme="minorBidi"/>
          <w:sz w:val="32"/>
          <w:szCs w:val="32"/>
        </w:rPr>
        <w:t>部门/单位从同级财政部门取得的各类财政拨款，包括一般公共预算拨款、政府性基金预算拨款、国有资本经营预算拨款。</w:t>
      </w:r>
    </w:p>
    <w:p w14:paraId="56E89802">
      <w:pPr>
        <w:pageBreakBefore w:val="0"/>
        <w:kinsoku/>
        <w:wordWrap/>
        <w:overflowPunct/>
        <w:topLinePunct w:val="0"/>
        <w:bidi w:val="0"/>
        <w:spacing w:line="600" w:lineRule="exact"/>
        <w:ind w:firstLine="643" w:firstLineChars="200"/>
      </w:pPr>
      <w:r>
        <w:rPr>
          <w:rFonts w:hint="eastAsia" w:eastAsia="仿宋_GB2312" w:cstheme="minorBidi"/>
          <w:b/>
          <w:bCs/>
          <w:sz w:val="32"/>
          <w:szCs w:val="32"/>
        </w:rPr>
        <w:t>二、一般公共预算拨款收入：</w:t>
      </w:r>
      <w:r>
        <w:rPr>
          <w:rFonts w:hint="eastAsia" w:ascii="仿宋" w:hAnsi="仿宋" w:eastAsia="仿宋" w:cs="仿宋"/>
          <w:bCs/>
          <w:sz w:val="30"/>
          <w:szCs w:val="30"/>
        </w:rPr>
        <w:t>指市级财</w:t>
      </w:r>
      <w:bookmarkStart w:id="0" w:name="_GoBack"/>
      <w:bookmarkEnd w:id="0"/>
      <w:r>
        <w:rPr>
          <w:rFonts w:hint="eastAsia" w:ascii="仿宋" w:hAnsi="仿宋" w:eastAsia="仿宋" w:cs="仿宋"/>
          <w:bCs/>
          <w:sz w:val="30"/>
          <w:szCs w:val="30"/>
        </w:rPr>
        <w:t>政当年拨付的资金。</w:t>
      </w:r>
    </w:p>
    <w:p w14:paraId="0C5EE105">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三、财政专户管理资金：</w:t>
      </w:r>
      <w:r>
        <w:rPr>
          <w:rFonts w:hint="eastAsia" w:eastAsia="仿宋_GB2312" w:cstheme="minorBidi"/>
          <w:sz w:val="32"/>
          <w:szCs w:val="32"/>
        </w:rPr>
        <w:t>缴入财政专户、实行专项管理的高中以上学费、住宿费、高校委托培养费、函大、电大、夜大及短训班培训费等教育收费。</w:t>
      </w:r>
    </w:p>
    <w:p w14:paraId="14925C82">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四、单位资金：</w:t>
      </w:r>
      <w:r>
        <w:rPr>
          <w:rFonts w:hint="eastAsia" w:eastAsia="仿宋_GB2312" w:cstheme="minorBidi"/>
          <w:sz w:val="32"/>
          <w:szCs w:val="32"/>
        </w:rPr>
        <w:t>除财政拨款收入和财政专户管理资金以外的收入，包括事业收入（不含教育收费）、上级补助收入、附属单位上缴收入、事业单位经营收入及其他收入（包含债务收入、投资收益等）。</w:t>
      </w:r>
    </w:p>
    <w:p w14:paraId="2D3C272E">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五、基本支出：</w:t>
      </w:r>
      <w:r>
        <w:rPr>
          <w:rFonts w:hint="eastAsia" w:eastAsia="仿宋_GB2312" w:cstheme="minorBidi"/>
          <w:sz w:val="32"/>
          <w:szCs w:val="32"/>
        </w:rPr>
        <w:t>指为保障机构正常运转、完成工作任务而发生的人员支出和公用支出。</w:t>
      </w:r>
    </w:p>
    <w:p w14:paraId="7F19AC42">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六、项目支出：</w:t>
      </w:r>
      <w:r>
        <w:rPr>
          <w:rFonts w:hint="eastAsia" w:eastAsia="仿宋_GB2312" w:cstheme="minorBidi"/>
          <w:sz w:val="32"/>
          <w:szCs w:val="32"/>
        </w:rPr>
        <w:t>指在基本支出之外为完成特定工作任务和事业发展目标所发生的支出。</w:t>
      </w:r>
    </w:p>
    <w:p w14:paraId="732F7AD2">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七、对个人和家庭的补助：</w:t>
      </w:r>
      <w:r>
        <w:rPr>
          <w:rFonts w:hint="eastAsia" w:eastAsia="仿宋_GB2312" w:cstheme="minorBidi"/>
          <w:sz w:val="32"/>
          <w:szCs w:val="32"/>
        </w:rPr>
        <w:t>是指政府用于对个人和家庭的补助支出。</w:t>
      </w:r>
    </w:p>
    <w:p w14:paraId="5509B54F">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八、“三公”经费：</w:t>
      </w:r>
      <w:r>
        <w:rPr>
          <w:rFonts w:hint="eastAsia" w:eastAsia="仿宋_GB2312" w:cstheme="minorBidi"/>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14:paraId="5876A2C4">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九、机关运行经费：</w:t>
      </w:r>
      <w:r>
        <w:rPr>
          <w:rFonts w:hint="eastAsia" w:eastAsia="仿宋_GB2312" w:cstheme="minorBidi"/>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2A1116D">
      <w:pPr>
        <w:pageBreakBefore w:val="0"/>
        <w:kinsoku/>
        <w:wordWrap/>
        <w:overflowPunct/>
        <w:topLinePunct w:val="0"/>
        <w:bidi w:val="0"/>
        <w:spacing w:line="600" w:lineRule="exact"/>
        <w:ind w:firstLine="643" w:firstLineChars="200"/>
        <w:rPr>
          <w:rFonts w:eastAsia="仿宋_GB2312" w:cstheme="minorBidi"/>
          <w:b/>
          <w:bCs/>
          <w:sz w:val="32"/>
          <w:szCs w:val="32"/>
        </w:rPr>
      </w:pPr>
    </w:p>
    <w:p w14:paraId="0FD9A9E9">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36"/>
          <w:szCs w:val="36"/>
        </w:rPr>
      </w:pPr>
    </w:p>
    <w:p w14:paraId="6633D53B">
      <w:pPr>
        <w:pageBreakBefore w:val="0"/>
        <w:kinsoku/>
        <w:wordWrap/>
        <w:overflowPunct/>
        <w:topLinePunct w:val="0"/>
        <w:bidi w:val="0"/>
        <w:spacing w:line="600" w:lineRule="exact"/>
        <w:jc w:val="center"/>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第四部分</w:t>
      </w:r>
      <w:r>
        <w:rPr>
          <w:rFonts w:hint="eastAsia" w:ascii="仿宋" w:hAnsi="仿宋" w:eastAsia="仿宋" w:cs="仿宋"/>
          <w:b w:val="0"/>
          <w:bCs w:val="0"/>
          <w:sz w:val="36"/>
          <w:szCs w:val="36"/>
        </w:rPr>
        <w:t xml:space="preserve"> </w:t>
      </w:r>
      <w:r>
        <w:rPr>
          <w:rFonts w:hint="eastAsia" w:ascii="方正小标宋简体" w:hAnsi="方正小标宋简体" w:eastAsia="方正小标宋简体" w:cs="方正小标宋简体"/>
          <w:b w:val="0"/>
          <w:bCs w:val="0"/>
          <w:sz w:val="36"/>
          <w:szCs w:val="36"/>
        </w:rPr>
        <w:t>预算公开联系方式及信息反馈渠道</w:t>
      </w:r>
    </w:p>
    <w:p w14:paraId="75BDBF8F">
      <w:pPr>
        <w:pageBreakBefore w:val="0"/>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rPr>
      </w:pPr>
    </w:p>
    <w:p w14:paraId="2D23C1B0">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091470CB">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联系人：曹琳                联系电话：0472-6969835</w:t>
      </w:r>
    </w:p>
    <w:sectPr>
      <w:pgSz w:w="11910" w:h="16840"/>
      <w:pgMar w:top="1580" w:right="1080" w:bottom="280" w:left="10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84BE99-F9A6-4BF3-9320-2AC0266284FD}"/>
  </w:font>
  <w:font w:name="黑体">
    <w:panose1 w:val="02010609060101010101"/>
    <w:charset w:val="86"/>
    <w:family w:val="auto"/>
    <w:pitch w:val="default"/>
    <w:sig w:usb0="800002BF" w:usb1="38CF7CFA" w:usb2="00000016" w:usb3="00000000" w:csb0="00040001" w:csb1="00000000"/>
    <w:embedRegular r:id="rId2" w:fontKey="{89AACE1C-1923-4A52-BF83-FB07E849CC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E983F072-6CEC-4753-9D7A-C39857A1A703}"/>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roman"/>
    <w:pitch w:val="default"/>
    <w:sig w:usb0="00000000" w:usb1="00000000" w:usb2="00000000" w:usb3="00000000" w:csb0="00040000" w:csb1="00000000"/>
    <w:embedRegular r:id="rId4" w:fontKey="{1CABDB1F-CE25-479F-A74D-8FC8E1BB5AF3}"/>
  </w:font>
  <w:font w:name="仿宋">
    <w:panose1 w:val="02010609060101010101"/>
    <w:charset w:val="86"/>
    <w:family w:val="auto"/>
    <w:pitch w:val="default"/>
    <w:sig w:usb0="800002BF" w:usb1="38CF7CFA" w:usb2="00000016" w:usb3="00000000" w:csb0="00040001" w:csb1="00000000"/>
    <w:embedRegular r:id="rId5" w:fontKey="{3223E2D7-0FCC-443B-8269-B9BECE77AAB4}"/>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modern"/>
    <w:pitch w:val="default"/>
    <w:sig w:usb0="00000000" w:usb1="00000000" w:usb2="00000000" w:usb3="00000000" w:csb0="00000001" w:csb1="00000000"/>
  </w:font>
  <w:font w:name="Courier">
    <w:altName w:val="Courier New"/>
    <w:panose1 w:val="02070409020205020404"/>
    <w:charset w:val="00"/>
    <w:family w:val="roman"/>
    <w:pitch w:val="default"/>
    <w:sig w:usb0="00000000" w:usb1="00000000" w:usb2="00000000" w:usb3="00000000" w:csb0="00000001" w:csb1="00000000"/>
  </w:font>
  <w:font w:name="Tms Rmn">
    <w:altName w:val="Times New Roman"/>
    <w:panose1 w:val="02020603040505020304"/>
    <w:charset w:val="00"/>
    <w:family w:val="decorative"/>
    <w:pitch w:val="default"/>
    <w:sig w:usb0="00000000" w:usb1="00000000" w:usb2="00000000" w:usb3="00000000" w:csb0="00000001" w:csb1="00000000"/>
  </w:font>
  <w:font w:name="Helv">
    <w:altName w:val="Segoe Print"/>
    <w:panose1 w:val="020B0604020202030204"/>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New York">
    <w:altName w:val="Times New Roman"/>
    <w:panose1 w:val="02040503060506020304"/>
    <w:charset w:val="00"/>
    <w:family w:val="decorative"/>
    <w:pitch w:val="default"/>
    <w:sig w:usb0="00000000" w:usb1="00000000" w:usb2="00000000" w:usb3="00000000" w:csb0="00000001" w:csb1="00000000"/>
  </w:font>
  <w:font w:name="Arial Unicode MS">
    <w:altName w:val="宋体"/>
    <w:panose1 w:val="020B0604020202020204"/>
    <w:charset w:val="86"/>
    <w:family w:val="modern"/>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12" w:usb3="00000000" w:csb0="00040001" w:csb1="00000000"/>
    <w:embedRegular r:id="rId6" w:fontKey="{ABE1B5E0-42FD-4849-9D88-65DE37A806B7}"/>
  </w:font>
  <w:font w:name="楷体">
    <w:panose1 w:val="02010609060101010101"/>
    <w:charset w:val="86"/>
    <w:family w:val="roman"/>
    <w:pitch w:val="default"/>
    <w:sig w:usb0="800002BF" w:usb1="38CF7CFA" w:usb2="00000016" w:usb3="00000000" w:csb0="00040001" w:csb1="00000000"/>
    <w:embedRegular r:id="rId7" w:fontKey="{44739861-F22C-4F6A-9DF1-05680368FF05}"/>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FC72">
    <w:pPr>
      <w:pStyle w:val="12"/>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43A85">
                          <w:pPr>
                            <w:pStyle w:val="12"/>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14:paraId="53E43A85">
                    <w:pPr>
                      <w:pStyle w:val="12"/>
                    </w:pPr>
                    <w:r>
                      <w:fldChar w:fldCharType="begin"/>
                    </w:r>
                    <w:r>
                      <w:instrText xml:space="preserve"> PAGE  \* MERGEFORMAT </w:instrText>
                    </w:r>
                    <w:r>
                      <w:fldChar w:fldCharType="separate"/>
                    </w:r>
                    <w:r>
                      <w:t>- 19 -</w:t>
                    </w:r>
                    <w:r>
                      <w:fldChar w:fldCharType="end"/>
                    </w:r>
                  </w:p>
                </w:txbxContent>
              </v:textbox>
            </v:shape>
          </w:pict>
        </mc:Fallback>
      </mc:AlternateContent>
    </w:r>
  </w:p>
  <w:p w14:paraId="05E86F9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4D7B">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CF6EA"/>
    <w:multiLevelType w:val="singleLevel"/>
    <w:tmpl w:val="018CF6EA"/>
    <w:lvl w:ilvl="0" w:tentative="0">
      <w:start w:val="1"/>
      <w:numFmt w:val="decimal"/>
      <w:suff w:val="nothing"/>
      <w:lvlText w:val="%1．"/>
      <w:lvlJc w:val="left"/>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abstractNum w:abstractNumId="2">
    <w:nsid w:val="4EC74364"/>
    <w:multiLevelType w:val="singleLevel"/>
    <w:tmpl w:val="4EC7436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OTA5YzIxNDIxNWFhMmQ5ZDViM2ZkNjAxNzE0M2U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1A3B"/>
    <w:rsid w:val="002A25F0"/>
    <w:rsid w:val="002A38DC"/>
    <w:rsid w:val="002A3F94"/>
    <w:rsid w:val="002A4CC2"/>
    <w:rsid w:val="002B0E96"/>
    <w:rsid w:val="002B21CC"/>
    <w:rsid w:val="002B3658"/>
    <w:rsid w:val="002B37C5"/>
    <w:rsid w:val="002B7E88"/>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03B4"/>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318C"/>
    <w:rsid w:val="00C34F6D"/>
    <w:rsid w:val="00C3720A"/>
    <w:rsid w:val="00C41DCA"/>
    <w:rsid w:val="00C45720"/>
    <w:rsid w:val="00C51934"/>
    <w:rsid w:val="00C549B2"/>
    <w:rsid w:val="00C55715"/>
    <w:rsid w:val="00C56FA8"/>
    <w:rsid w:val="00C61C00"/>
    <w:rsid w:val="00C62802"/>
    <w:rsid w:val="00C6346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47761"/>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3C84930"/>
    <w:rsid w:val="03DF7E09"/>
    <w:rsid w:val="048320BB"/>
    <w:rsid w:val="04B563C2"/>
    <w:rsid w:val="05531A54"/>
    <w:rsid w:val="05F92C68"/>
    <w:rsid w:val="06571B7A"/>
    <w:rsid w:val="077111CE"/>
    <w:rsid w:val="0772575A"/>
    <w:rsid w:val="07DA3A8F"/>
    <w:rsid w:val="089D7C92"/>
    <w:rsid w:val="09C92DD3"/>
    <w:rsid w:val="09CF6E4B"/>
    <w:rsid w:val="0B6B045B"/>
    <w:rsid w:val="0BD554C2"/>
    <w:rsid w:val="0E7B4525"/>
    <w:rsid w:val="10767327"/>
    <w:rsid w:val="11304CEB"/>
    <w:rsid w:val="11AF4DCB"/>
    <w:rsid w:val="12955111"/>
    <w:rsid w:val="12CC6E6D"/>
    <w:rsid w:val="13806E42"/>
    <w:rsid w:val="13A607E7"/>
    <w:rsid w:val="140E7482"/>
    <w:rsid w:val="1440520B"/>
    <w:rsid w:val="14737EE6"/>
    <w:rsid w:val="14FF0425"/>
    <w:rsid w:val="171F386A"/>
    <w:rsid w:val="17BC5001"/>
    <w:rsid w:val="183A0A1F"/>
    <w:rsid w:val="198C1D89"/>
    <w:rsid w:val="1B74013C"/>
    <w:rsid w:val="1CFA34AD"/>
    <w:rsid w:val="1E0D2BED"/>
    <w:rsid w:val="1E591AD6"/>
    <w:rsid w:val="1F14499E"/>
    <w:rsid w:val="1F5B26C7"/>
    <w:rsid w:val="203A4DF7"/>
    <w:rsid w:val="224109E7"/>
    <w:rsid w:val="22A144DF"/>
    <w:rsid w:val="22EB689E"/>
    <w:rsid w:val="2472310C"/>
    <w:rsid w:val="249C2E00"/>
    <w:rsid w:val="26CE5027"/>
    <w:rsid w:val="278357E8"/>
    <w:rsid w:val="27F62AEE"/>
    <w:rsid w:val="2866365B"/>
    <w:rsid w:val="2B9D683D"/>
    <w:rsid w:val="2BDD6474"/>
    <w:rsid w:val="2CF23FA9"/>
    <w:rsid w:val="2DDE2C59"/>
    <w:rsid w:val="2E50057C"/>
    <w:rsid w:val="2F204A26"/>
    <w:rsid w:val="2F3045A4"/>
    <w:rsid w:val="2F567AA0"/>
    <w:rsid w:val="30043F67"/>
    <w:rsid w:val="309F5392"/>
    <w:rsid w:val="3161171F"/>
    <w:rsid w:val="319A28B2"/>
    <w:rsid w:val="3276083D"/>
    <w:rsid w:val="331577EF"/>
    <w:rsid w:val="33462B94"/>
    <w:rsid w:val="33905BDA"/>
    <w:rsid w:val="339B19D0"/>
    <w:rsid w:val="33AD0E22"/>
    <w:rsid w:val="3508551A"/>
    <w:rsid w:val="359C0F7A"/>
    <w:rsid w:val="37776170"/>
    <w:rsid w:val="378B37C3"/>
    <w:rsid w:val="37BE57F0"/>
    <w:rsid w:val="383B0BDA"/>
    <w:rsid w:val="38F2725A"/>
    <w:rsid w:val="3941563D"/>
    <w:rsid w:val="39C037CE"/>
    <w:rsid w:val="3A6E22BA"/>
    <w:rsid w:val="3A86167D"/>
    <w:rsid w:val="3AE332B3"/>
    <w:rsid w:val="3C8C247C"/>
    <w:rsid w:val="3D65545B"/>
    <w:rsid w:val="3E7C6D69"/>
    <w:rsid w:val="3FA119B7"/>
    <w:rsid w:val="40177DE3"/>
    <w:rsid w:val="40976810"/>
    <w:rsid w:val="41413A2E"/>
    <w:rsid w:val="417A1877"/>
    <w:rsid w:val="422711D3"/>
    <w:rsid w:val="432253DD"/>
    <w:rsid w:val="43501007"/>
    <w:rsid w:val="43863DDA"/>
    <w:rsid w:val="444939F2"/>
    <w:rsid w:val="45551365"/>
    <w:rsid w:val="467938A1"/>
    <w:rsid w:val="476F66C2"/>
    <w:rsid w:val="482809DA"/>
    <w:rsid w:val="4A0B7731"/>
    <w:rsid w:val="4A3A7537"/>
    <w:rsid w:val="4A9A751F"/>
    <w:rsid w:val="4AB8212E"/>
    <w:rsid w:val="4AE10089"/>
    <w:rsid w:val="4B177614"/>
    <w:rsid w:val="4B3A3DE4"/>
    <w:rsid w:val="4B77032C"/>
    <w:rsid w:val="4B852596"/>
    <w:rsid w:val="4BCA4DC2"/>
    <w:rsid w:val="4CC43F74"/>
    <w:rsid w:val="4D3806BD"/>
    <w:rsid w:val="4FA56487"/>
    <w:rsid w:val="4FC44EDC"/>
    <w:rsid w:val="50997532"/>
    <w:rsid w:val="52C12FB4"/>
    <w:rsid w:val="53097B05"/>
    <w:rsid w:val="535B5D4C"/>
    <w:rsid w:val="53866EE0"/>
    <w:rsid w:val="538F587F"/>
    <w:rsid w:val="544E2FF3"/>
    <w:rsid w:val="551E7F0E"/>
    <w:rsid w:val="55B95F2B"/>
    <w:rsid w:val="55D63612"/>
    <w:rsid w:val="55D9538F"/>
    <w:rsid w:val="56B137E7"/>
    <w:rsid w:val="59654F1B"/>
    <w:rsid w:val="5A650D5A"/>
    <w:rsid w:val="5A8E6B50"/>
    <w:rsid w:val="5B526E3B"/>
    <w:rsid w:val="5D176670"/>
    <w:rsid w:val="5EFB5FCF"/>
    <w:rsid w:val="60976762"/>
    <w:rsid w:val="615674ED"/>
    <w:rsid w:val="61744EA1"/>
    <w:rsid w:val="637048DB"/>
    <w:rsid w:val="64AA146F"/>
    <w:rsid w:val="65335497"/>
    <w:rsid w:val="65D76172"/>
    <w:rsid w:val="66C77325"/>
    <w:rsid w:val="68931D4F"/>
    <w:rsid w:val="68C6406F"/>
    <w:rsid w:val="6A1638AD"/>
    <w:rsid w:val="6B4551DF"/>
    <w:rsid w:val="6B9E2823"/>
    <w:rsid w:val="6C7B77BD"/>
    <w:rsid w:val="6C992C34"/>
    <w:rsid w:val="6CA95923"/>
    <w:rsid w:val="6D756958"/>
    <w:rsid w:val="718B3849"/>
    <w:rsid w:val="73656E86"/>
    <w:rsid w:val="7377015A"/>
    <w:rsid w:val="739D2BFF"/>
    <w:rsid w:val="75A01A91"/>
    <w:rsid w:val="75A62E64"/>
    <w:rsid w:val="75BB53FD"/>
    <w:rsid w:val="75E96582"/>
    <w:rsid w:val="761146D7"/>
    <w:rsid w:val="76470CAA"/>
    <w:rsid w:val="764D1082"/>
    <w:rsid w:val="766F2799"/>
    <w:rsid w:val="773B6256"/>
    <w:rsid w:val="7BF3685D"/>
    <w:rsid w:val="7D07233B"/>
    <w:rsid w:val="7D40391F"/>
    <w:rsid w:val="7DF96BCA"/>
    <w:rsid w:val="7E1251F4"/>
    <w:rsid w:val="7E6416AA"/>
    <w:rsid w:val="7EE66F59"/>
    <w:rsid w:val="7F1A6E76"/>
    <w:rsid w:val="7F1F783D"/>
    <w:rsid w:val="7FAF396D"/>
    <w:rsid w:val="E46DF715"/>
    <w:rsid w:val="EBBBE663"/>
    <w:rsid w:val="F5D50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kern w:val="44"/>
      <w:sz w:val="44"/>
    </w:rPr>
  </w:style>
  <w:style w:type="paragraph" w:styleId="3">
    <w:name w:val="heading 2"/>
    <w:basedOn w:val="1"/>
    <w:next w:val="1"/>
    <w:link w:val="30"/>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4">
    <w:name w:val="heading 3"/>
    <w:basedOn w:val="1"/>
    <w:next w:val="1"/>
    <w:unhideWhenUsed/>
    <w:qFormat/>
    <w:uiPriority w:val="1"/>
    <w:pPr>
      <w:keepNext/>
      <w:keepLines/>
      <w:spacing w:before="260" w:after="260" w:line="413" w:lineRule="auto"/>
      <w:outlineLvl w:val="2"/>
    </w:pPr>
    <w:rPr>
      <w:b/>
      <w:sz w:val="32"/>
    </w:rPr>
  </w:style>
  <w:style w:type="paragraph" w:styleId="5">
    <w:name w:val="heading 4"/>
    <w:basedOn w:val="1"/>
    <w:next w:val="1"/>
    <w:link w:val="3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unhideWhenUsed/>
    <w:qFormat/>
    <w:uiPriority w:val="1"/>
    <w:pPr>
      <w:keepNext/>
      <w:keepLines/>
      <w:spacing w:before="280" w:after="290" w:line="376" w:lineRule="auto"/>
      <w:outlineLvl w:val="4"/>
    </w:pPr>
    <w:rPr>
      <w:b/>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spacing w:line="360" w:lineRule="auto"/>
      <w:ind w:firstLine="420" w:firstLineChars="200"/>
      <w:jc w:val="left"/>
    </w:pPr>
    <w:rPr>
      <w:rFonts w:ascii="仿宋_GB2312" w:hAnsi="Arial" w:eastAsia="仿宋_GB2312"/>
      <w:kern w:val="0"/>
      <w:sz w:val="30"/>
      <w:szCs w:val="30"/>
    </w:rPr>
  </w:style>
  <w:style w:type="paragraph" w:styleId="8">
    <w:name w:val="Body Text"/>
    <w:basedOn w:val="1"/>
    <w:link w:val="34"/>
    <w:unhideWhenUsed/>
    <w:qFormat/>
    <w:uiPriority w:val="1"/>
    <w:pPr>
      <w:spacing w:after="120"/>
    </w:pPr>
  </w:style>
  <w:style w:type="paragraph" w:styleId="9">
    <w:name w:val="annotation text"/>
    <w:basedOn w:val="1"/>
    <w:link w:val="26"/>
    <w:unhideWhenUsed/>
    <w:qFormat/>
    <w:uiPriority w:val="99"/>
    <w:pPr>
      <w:jc w:val="left"/>
    </w:pPr>
  </w:style>
  <w:style w:type="paragraph" w:styleId="10">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1">
    <w:name w:val="Balloon Text"/>
    <w:basedOn w:val="1"/>
    <w:link w:val="36"/>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5">
    <w:name w:val="Subtitle"/>
    <w:basedOn w:val="1"/>
    <w:next w:val="1"/>
    <w:link w:val="29"/>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6">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7">
    <w:name w:val="annotation subject"/>
    <w:basedOn w:val="9"/>
    <w:next w:val="9"/>
    <w:link w:val="27"/>
    <w:unhideWhenUsed/>
    <w:qFormat/>
    <w:uiPriority w:val="99"/>
    <w:rPr>
      <w:b/>
      <w:bCs/>
    </w:rPr>
  </w:style>
  <w:style w:type="paragraph" w:styleId="18">
    <w:name w:val="Body Text First Indent 2"/>
    <w:basedOn w:val="10"/>
    <w:qFormat/>
    <w:uiPriority w:val="0"/>
    <w:pPr>
      <w:ind w:firstLine="42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页眉 Char"/>
    <w:basedOn w:val="21"/>
    <w:link w:val="13"/>
    <w:qFormat/>
    <w:uiPriority w:val="99"/>
    <w:rPr>
      <w:sz w:val="18"/>
      <w:szCs w:val="18"/>
    </w:rPr>
  </w:style>
  <w:style w:type="character" w:customStyle="1" w:styleId="25">
    <w:name w:val="页脚 Char"/>
    <w:basedOn w:val="21"/>
    <w:link w:val="12"/>
    <w:qFormat/>
    <w:uiPriority w:val="99"/>
    <w:rPr>
      <w:sz w:val="18"/>
      <w:szCs w:val="18"/>
    </w:rPr>
  </w:style>
  <w:style w:type="character" w:customStyle="1" w:styleId="26">
    <w:name w:val="批注文字 Char"/>
    <w:basedOn w:val="21"/>
    <w:link w:val="9"/>
    <w:qFormat/>
    <w:uiPriority w:val="99"/>
    <w:rPr>
      <w:rFonts w:ascii="Times New Roman" w:hAnsi="Times New Roman" w:eastAsia="Courier New" w:cs="Times New Roman"/>
      <w:szCs w:val="21"/>
    </w:rPr>
  </w:style>
  <w:style w:type="character" w:customStyle="1" w:styleId="27">
    <w:name w:val="批注主题 Char"/>
    <w:basedOn w:val="26"/>
    <w:link w:val="17"/>
    <w:semiHidden/>
    <w:qFormat/>
    <w:uiPriority w:val="99"/>
    <w:rPr>
      <w:rFonts w:ascii="Times New Roman" w:hAnsi="Times New Roman" w:eastAsia="Courier New" w:cs="Times New Roman"/>
      <w:b/>
      <w:bCs/>
      <w:szCs w:val="21"/>
    </w:rPr>
  </w:style>
  <w:style w:type="paragraph" w:customStyle="1" w:styleId="28">
    <w:name w:val="独立格式"/>
    <w:basedOn w:val="15"/>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29">
    <w:name w:val="副标题 Char"/>
    <w:basedOn w:val="21"/>
    <w:link w:val="15"/>
    <w:qFormat/>
    <w:uiPriority w:val="11"/>
    <w:rPr>
      <w:b/>
      <w:bCs/>
      <w:kern w:val="28"/>
      <w:sz w:val="32"/>
      <w:szCs w:val="32"/>
    </w:rPr>
  </w:style>
  <w:style w:type="character" w:customStyle="1" w:styleId="30">
    <w:name w:val="标题 2 Char"/>
    <w:basedOn w:val="21"/>
    <w:link w:val="3"/>
    <w:qFormat/>
    <w:uiPriority w:val="9"/>
    <w:rPr>
      <w:rFonts w:ascii="Arial" w:hAnsi="Arial" w:eastAsia="Symbol" w:cs="Times New Roman"/>
      <w:b/>
      <w:bCs/>
      <w:sz w:val="32"/>
      <w:szCs w:val="32"/>
    </w:rPr>
  </w:style>
  <w:style w:type="paragraph" w:customStyle="1" w:styleId="31">
    <w:name w:val="表格名称"/>
    <w:basedOn w:val="1"/>
    <w:qFormat/>
    <w:uiPriority w:val="0"/>
    <w:pPr>
      <w:spacing w:line="360" w:lineRule="auto"/>
      <w:jc w:val="center"/>
    </w:pPr>
    <w:rPr>
      <w:rFonts w:eastAsia="Helv" w:cs="New York"/>
      <w:b/>
      <w:sz w:val="24"/>
      <w:szCs w:val="24"/>
    </w:rPr>
  </w:style>
  <w:style w:type="paragraph" w:customStyle="1" w:styleId="32">
    <w:name w:val="表格文字"/>
    <w:basedOn w:val="28"/>
    <w:next w:val="1"/>
    <w:qFormat/>
    <w:uiPriority w:val="0"/>
    <w:pPr>
      <w:spacing w:line="360" w:lineRule="exact"/>
    </w:pPr>
    <w:rPr>
      <w:rFonts w:eastAsia="Helv" w:cs="New York"/>
      <w:sz w:val="24"/>
    </w:rPr>
  </w:style>
  <w:style w:type="character" w:customStyle="1" w:styleId="33">
    <w:name w:val="标题 5 Char"/>
    <w:basedOn w:val="21"/>
    <w:link w:val="6"/>
    <w:semiHidden/>
    <w:qFormat/>
    <w:uiPriority w:val="9"/>
    <w:rPr>
      <w:rFonts w:ascii="Times New Roman" w:hAnsi="Times New Roman" w:eastAsia="Courier New" w:cs="Times New Roman"/>
      <w:b/>
      <w:bCs/>
      <w:sz w:val="28"/>
      <w:szCs w:val="28"/>
    </w:rPr>
  </w:style>
  <w:style w:type="character" w:customStyle="1" w:styleId="34">
    <w:name w:val="正文文本 Char"/>
    <w:basedOn w:val="21"/>
    <w:link w:val="8"/>
    <w:semiHidden/>
    <w:qFormat/>
    <w:uiPriority w:val="99"/>
    <w:rPr>
      <w:rFonts w:ascii="Times New Roman" w:hAnsi="Times New Roman" w:eastAsia="Courier New" w:cs="Times New Roman"/>
      <w:szCs w:val="21"/>
    </w:rPr>
  </w:style>
  <w:style w:type="character" w:customStyle="1" w:styleId="35">
    <w:name w:val="标题 4 Char"/>
    <w:basedOn w:val="21"/>
    <w:link w:val="5"/>
    <w:semiHidden/>
    <w:qFormat/>
    <w:uiPriority w:val="9"/>
    <w:rPr>
      <w:rFonts w:asciiTheme="majorHAnsi" w:hAnsiTheme="majorHAnsi" w:eastAsiaTheme="majorEastAsia" w:cstheme="majorBidi"/>
      <w:b/>
      <w:bCs/>
      <w:sz w:val="28"/>
      <w:szCs w:val="28"/>
    </w:rPr>
  </w:style>
  <w:style w:type="character" w:customStyle="1" w:styleId="36">
    <w:name w:val="批注框文本 Char"/>
    <w:basedOn w:val="21"/>
    <w:link w:val="11"/>
    <w:semiHidden/>
    <w:qFormat/>
    <w:uiPriority w:val="99"/>
    <w:rPr>
      <w:rFonts w:ascii="Times New Roman" w:hAnsi="Times New Roman" w:eastAsia="Courier New" w:cs="Times New Roman"/>
      <w:kern w:val="2"/>
      <w:sz w:val="18"/>
      <w:szCs w:val="18"/>
    </w:rPr>
  </w:style>
  <w:style w:type="table" w:customStyle="1" w:styleId="37">
    <w:name w:val="Table Normal"/>
    <w:unhideWhenUsed/>
    <w:qFormat/>
    <w:uiPriority w:val="2"/>
    <w:tblPr>
      <w:tblCellMar>
        <w:top w:w="0" w:type="dxa"/>
        <w:left w:w="0" w:type="dxa"/>
        <w:bottom w:w="0" w:type="dxa"/>
        <w:right w:w="0" w:type="dxa"/>
      </w:tblCellMar>
    </w:tblPr>
  </w:style>
  <w:style w:type="paragraph" w:customStyle="1" w:styleId="38">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39">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6664</Words>
  <Characters>7511</Characters>
  <Lines>80</Lines>
  <Paragraphs>22</Paragraphs>
  <TotalTime>13</TotalTime>
  <ScaleCrop>false</ScaleCrop>
  <LinksUpToDate>false</LinksUpToDate>
  <CharactersWithSpaces>7589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2022-09-07T09:41:00Z</dcterms:created>
  <dc:creator>Richard Meng</dc:creator>
  <cp:lastModifiedBy>中唯事务所</cp:lastModifiedBy>
  <cp:lastPrinted>2022-09-03T16:20:00Z</cp:lastPrinted>
  <dcterms:modified xsi:type="dcterms:W3CDTF">2026-02-04T07:03:26Z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D01B5B60E3BA4123A53948E7047D96F9</vt:lpwstr>
  </property>
  <property fmtid="{D5CDD505-2E9C-101B-9397-08002B2CF9AE}" pid="4" name="commondata">
    <vt:lpwstr>eyJoZGlkIjoiMDUyZTZiOWNhNTRkM2JiNDQwZWRmZDZjZTIwNDhiY2IifQ==</vt:lpwstr>
  </property>
  <property fmtid="{D5CDD505-2E9C-101B-9397-08002B2CF9AE}" pid="5" name="KSOTemplateDocerSaveRecord">
    <vt:lpwstr>eyJoZGlkIjoiZDkzNTM5Y2YwMjkyNDg1YTMzNjMxNTNiODYwZGE3OTgiLCJ1c2VySWQiOiIxMTQxNjcyNDQ5In0=</vt:lpwstr>
  </property>
</Properties>
</file>